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5BD9B" w14:textId="383807ED" w:rsidR="0020107D" w:rsidRPr="002E6D48" w:rsidRDefault="00A94ECB" w:rsidP="00115DDA">
      <w:pPr>
        <w:pBdr>
          <w:top w:val="nil"/>
          <w:left w:val="nil"/>
          <w:bottom w:val="nil"/>
          <w:right w:val="nil"/>
          <w:between w:val="nil"/>
        </w:pBdr>
        <w:spacing w:after="600" w:line="240" w:lineRule="auto"/>
        <w:rPr>
          <w:b/>
          <w:sz w:val="60"/>
          <w:szCs w:val="60"/>
        </w:rPr>
      </w:pPr>
      <w:r w:rsidRPr="002E6D48">
        <w:rPr>
          <w:b/>
          <w:sz w:val="60"/>
          <w:szCs w:val="60"/>
        </w:rPr>
        <w:t>Term Sheet</w:t>
      </w:r>
      <w:r w:rsidR="00E70FB6">
        <w:rPr>
          <w:b/>
          <w:sz w:val="60"/>
          <w:szCs w:val="60"/>
        </w:rPr>
        <w:t>:</w:t>
      </w:r>
      <w:r w:rsidR="00731EBE">
        <w:rPr>
          <w:b/>
          <w:sz w:val="60"/>
          <w:szCs w:val="60"/>
        </w:rPr>
        <w:t xml:space="preserve"> </w:t>
      </w:r>
      <w:r w:rsidR="00E70FB6">
        <w:rPr>
          <w:b/>
          <w:sz w:val="60"/>
          <w:szCs w:val="60"/>
        </w:rPr>
        <w:t>EIT</w:t>
      </w:r>
      <w:r w:rsidR="00BE2469">
        <w:rPr>
          <w:b/>
          <w:sz w:val="60"/>
          <w:szCs w:val="60"/>
        </w:rPr>
        <w:t xml:space="preserve"> DIGITAL</w:t>
      </w:r>
      <w:r w:rsidR="00E70FB6">
        <w:rPr>
          <w:b/>
          <w:sz w:val="60"/>
          <w:szCs w:val="60"/>
        </w:rPr>
        <w:t xml:space="preserve"> Option Agreement </w:t>
      </w:r>
    </w:p>
    <w:p w14:paraId="53878E64" w14:textId="261449D6" w:rsidR="0020107D" w:rsidRPr="00115DDA" w:rsidRDefault="00A94ECB">
      <w:pPr>
        <w:pBdr>
          <w:top w:val="nil"/>
          <w:left w:val="nil"/>
          <w:bottom w:val="nil"/>
          <w:right w:val="nil"/>
          <w:between w:val="nil"/>
        </w:pBdr>
        <w:ind w:left="-426"/>
        <w:rPr>
          <w:sz w:val="20"/>
          <w:szCs w:val="20"/>
        </w:rPr>
      </w:pPr>
      <w:r w:rsidRPr="00115DDA">
        <w:rPr>
          <w:sz w:val="20"/>
          <w:szCs w:val="20"/>
        </w:rPr>
        <w:t xml:space="preserve">Participation of </w:t>
      </w:r>
      <w:r w:rsidR="00963432" w:rsidRPr="00115DDA">
        <w:rPr>
          <w:sz w:val="20"/>
          <w:szCs w:val="20"/>
        </w:rPr>
        <w:t xml:space="preserve">the Company </w:t>
      </w:r>
      <w:r w:rsidRPr="00115DDA">
        <w:rPr>
          <w:sz w:val="20"/>
          <w:szCs w:val="20"/>
        </w:rPr>
        <w:t xml:space="preserve">in </w:t>
      </w:r>
      <w:r w:rsidR="002E5536" w:rsidRPr="00115DDA">
        <w:rPr>
          <w:sz w:val="20"/>
          <w:szCs w:val="20"/>
        </w:rPr>
        <w:t>[name]</w:t>
      </w:r>
      <w:r w:rsidR="00963432" w:rsidRPr="00115DDA">
        <w:rPr>
          <w:sz w:val="20"/>
          <w:szCs w:val="20"/>
        </w:rPr>
        <w:t xml:space="preserve"> EIT Digital Activity ….</w:t>
      </w:r>
    </w:p>
    <w:p w14:paraId="034E279D" w14:textId="74D2D140" w:rsidR="00E85DD7" w:rsidRPr="00115DDA" w:rsidRDefault="00E85DD7">
      <w:pPr>
        <w:pBdr>
          <w:top w:val="nil"/>
          <w:left w:val="nil"/>
          <w:bottom w:val="nil"/>
          <w:right w:val="nil"/>
          <w:between w:val="nil"/>
        </w:pBdr>
        <w:ind w:left="-426"/>
        <w:rPr>
          <w:sz w:val="20"/>
          <w:szCs w:val="20"/>
        </w:rPr>
      </w:pPr>
      <w:r w:rsidRPr="00115DDA">
        <w:rPr>
          <w:sz w:val="20"/>
          <w:szCs w:val="20"/>
        </w:rPr>
        <w:t>By and between</w:t>
      </w:r>
    </w:p>
    <w:p w14:paraId="6E84ED38" w14:textId="7C8D6AE3" w:rsidR="00E85DD7" w:rsidRDefault="00E85DD7">
      <w:pPr>
        <w:pBdr>
          <w:top w:val="nil"/>
          <w:left w:val="nil"/>
          <w:bottom w:val="nil"/>
          <w:right w:val="nil"/>
          <w:between w:val="nil"/>
        </w:pBdr>
        <w:ind w:left="-426"/>
        <w:rPr>
          <w:sz w:val="24"/>
          <w:szCs w:val="24"/>
        </w:rPr>
      </w:pPr>
    </w:p>
    <w:p w14:paraId="2584952C" w14:textId="77777777" w:rsidR="00E85DD7" w:rsidRPr="00115DDA" w:rsidRDefault="00E85DD7" w:rsidP="00E85DD7">
      <w:pPr>
        <w:pStyle w:val="MEAuzhlung1"/>
        <w:numPr>
          <w:ilvl w:val="0"/>
          <w:numId w:val="7"/>
        </w:numPr>
        <w:ind w:hanging="720"/>
        <w:rPr>
          <w:sz w:val="20"/>
          <w:szCs w:val="20"/>
          <w:lang w:val="en-GB"/>
        </w:rPr>
      </w:pPr>
      <w:bookmarkStart w:id="0" w:name="_Ref362348092"/>
      <w:r w:rsidRPr="00115DDA">
        <w:rPr>
          <w:b/>
          <w:sz w:val="20"/>
          <w:szCs w:val="20"/>
          <w:lang w:val="en-GB"/>
        </w:rPr>
        <w:t>[●]</w:t>
      </w:r>
      <w:r w:rsidRPr="00115DDA">
        <w:rPr>
          <w:sz w:val="20"/>
          <w:szCs w:val="20"/>
          <w:lang w:val="en-GB"/>
        </w:rPr>
        <w:t xml:space="preserve">, a limited liability company organized and existing under the laws of [country] with its statutory seat in [●], [country], registered with [●], [country], having its business address at [●], [●], [country] </w:t>
      </w:r>
    </w:p>
    <w:p w14:paraId="6A5B7B72" w14:textId="77777777" w:rsidR="00E85DD7" w:rsidRPr="00115DDA" w:rsidRDefault="00E85DD7" w:rsidP="00E85DD7">
      <w:pPr>
        <w:pStyle w:val="MEAuzhlung1"/>
        <w:numPr>
          <w:ilvl w:val="0"/>
          <w:numId w:val="8"/>
        </w:numPr>
        <w:jc w:val="right"/>
        <w:rPr>
          <w:sz w:val="20"/>
          <w:szCs w:val="20"/>
          <w:lang w:val="en-GB"/>
        </w:rPr>
      </w:pPr>
      <w:r w:rsidRPr="00115DDA">
        <w:rPr>
          <w:sz w:val="20"/>
          <w:szCs w:val="20"/>
          <w:lang w:val="en-GB"/>
        </w:rPr>
        <w:t>“</w:t>
      </w:r>
      <w:r w:rsidRPr="00115DDA">
        <w:rPr>
          <w:b/>
          <w:sz w:val="20"/>
          <w:szCs w:val="20"/>
          <w:lang w:val="en-GB"/>
        </w:rPr>
        <w:t>Company</w:t>
      </w:r>
      <w:r w:rsidRPr="00115DDA">
        <w:rPr>
          <w:sz w:val="20"/>
          <w:szCs w:val="20"/>
          <w:lang w:val="en-GB"/>
        </w:rPr>
        <w:t xml:space="preserve">” - </w:t>
      </w:r>
    </w:p>
    <w:p w14:paraId="529BA2AC" w14:textId="77777777" w:rsidR="00E85DD7" w:rsidRPr="00115DDA" w:rsidRDefault="00E85DD7" w:rsidP="00E85DD7">
      <w:pPr>
        <w:pStyle w:val="MEAuzhlung1"/>
        <w:numPr>
          <w:ilvl w:val="0"/>
          <w:numId w:val="7"/>
        </w:numPr>
        <w:ind w:hanging="720"/>
        <w:rPr>
          <w:sz w:val="20"/>
          <w:szCs w:val="20"/>
          <w:lang w:val="en-GB"/>
        </w:rPr>
      </w:pPr>
      <w:r w:rsidRPr="00115DDA">
        <w:rPr>
          <w:b/>
          <w:sz w:val="20"/>
          <w:szCs w:val="20"/>
          <w:lang w:val="en-GB"/>
        </w:rPr>
        <w:t>[●]</w:t>
      </w:r>
      <w:r w:rsidRPr="00115DDA">
        <w:rPr>
          <w:sz w:val="20"/>
          <w:szCs w:val="20"/>
          <w:lang w:val="en-GB"/>
        </w:rPr>
        <w:t xml:space="preserve">, born on [●], with address at [●], [●], </w:t>
      </w:r>
    </w:p>
    <w:p w14:paraId="37BC8DA8" w14:textId="62D9F9BA" w:rsidR="00E85DD7" w:rsidRPr="00115DDA" w:rsidRDefault="00E85DD7" w:rsidP="00E85DD7">
      <w:pPr>
        <w:pStyle w:val="MEAuzhlung1"/>
        <w:numPr>
          <w:ilvl w:val="0"/>
          <w:numId w:val="8"/>
        </w:numPr>
        <w:jc w:val="right"/>
        <w:rPr>
          <w:sz w:val="20"/>
          <w:szCs w:val="20"/>
          <w:lang w:val="en-GB"/>
        </w:rPr>
      </w:pPr>
      <w:r w:rsidRPr="00115DDA">
        <w:rPr>
          <w:sz w:val="20"/>
          <w:szCs w:val="20"/>
          <w:lang w:val="en-GB"/>
        </w:rPr>
        <w:t>“</w:t>
      </w:r>
      <w:r w:rsidRPr="00115DDA">
        <w:rPr>
          <w:b/>
          <w:sz w:val="20"/>
          <w:szCs w:val="20"/>
          <w:lang w:val="en-GB"/>
        </w:rPr>
        <w:t>Founder</w:t>
      </w:r>
      <w:r w:rsidR="00DA7AE3">
        <w:rPr>
          <w:b/>
          <w:sz w:val="20"/>
          <w:szCs w:val="20"/>
          <w:lang w:val="en-GB"/>
        </w:rPr>
        <w:t>/Shareholder</w:t>
      </w:r>
      <w:r w:rsidRPr="00115DDA">
        <w:rPr>
          <w:b/>
          <w:sz w:val="20"/>
          <w:szCs w:val="20"/>
          <w:lang w:val="en-GB"/>
        </w:rPr>
        <w:t xml:space="preserve"> 1</w:t>
      </w:r>
      <w:r w:rsidRPr="00115DDA">
        <w:rPr>
          <w:sz w:val="20"/>
          <w:szCs w:val="20"/>
          <w:lang w:val="en-GB"/>
        </w:rPr>
        <w:t xml:space="preserve">”- </w:t>
      </w:r>
    </w:p>
    <w:p w14:paraId="57933275" w14:textId="77777777" w:rsidR="00E85DD7" w:rsidRPr="00115DDA" w:rsidRDefault="00E85DD7" w:rsidP="00E85DD7">
      <w:pPr>
        <w:pStyle w:val="MEAuzhlung1"/>
        <w:numPr>
          <w:ilvl w:val="0"/>
          <w:numId w:val="7"/>
        </w:numPr>
        <w:ind w:hanging="720"/>
        <w:rPr>
          <w:sz w:val="20"/>
          <w:szCs w:val="20"/>
          <w:lang w:val="en-GB"/>
        </w:rPr>
      </w:pPr>
      <w:r w:rsidRPr="00115DDA">
        <w:rPr>
          <w:b/>
          <w:sz w:val="20"/>
          <w:szCs w:val="20"/>
          <w:lang w:val="en-GB"/>
        </w:rPr>
        <w:t>[●]</w:t>
      </w:r>
      <w:r w:rsidRPr="00115DDA">
        <w:rPr>
          <w:sz w:val="20"/>
          <w:szCs w:val="20"/>
          <w:lang w:val="en-GB"/>
        </w:rPr>
        <w:t>, born on [●], with address at [●], [●],</w:t>
      </w:r>
    </w:p>
    <w:p w14:paraId="450396D5" w14:textId="69415156" w:rsidR="00E85DD7" w:rsidRPr="00115DDA" w:rsidRDefault="00E85DD7" w:rsidP="00E85DD7">
      <w:pPr>
        <w:pStyle w:val="MEAuzhlung1"/>
        <w:numPr>
          <w:ilvl w:val="0"/>
          <w:numId w:val="8"/>
        </w:numPr>
        <w:jc w:val="right"/>
        <w:rPr>
          <w:sz w:val="20"/>
          <w:szCs w:val="20"/>
          <w:lang w:val="en-GB"/>
        </w:rPr>
      </w:pPr>
      <w:r w:rsidRPr="00115DDA">
        <w:rPr>
          <w:sz w:val="20"/>
          <w:szCs w:val="20"/>
          <w:lang w:val="en-GB"/>
        </w:rPr>
        <w:t>“</w:t>
      </w:r>
      <w:r w:rsidRPr="00115DDA">
        <w:rPr>
          <w:b/>
          <w:sz w:val="20"/>
          <w:szCs w:val="20"/>
          <w:lang w:val="en-GB"/>
        </w:rPr>
        <w:t>Founder</w:t>
      </w:r>
      <w:r w:rsidR="00DA7AE3">
        <w:rPr>
          <w:b/>
          <w:sz w:val="20"/>
          <w:szCs w:val="20"/>
          <w:lang w:val="en-GB"/>
        </w:rPr>
        <w:t>/Shareholder</w:t>
      </w:r>
      <w:r w:rsidRPr="00115DDA">
        <w:rPr>
          <w:b/>
          <w:sz w:val="20"/>
          <w:szCs w:val="20"/>
          <w:lang w:val="en-GB"/>
        </w:rPr>
        <w:t xml:space="preserve"> 2</w:t>
      </w:r>
      <w:r w:rsidRPr="00115DDA">
        <w:rPr>
          <w:sz w:val="20"/>
          <w:szCs w:val="20"/>
          <w:lang w:val="en-GB"/>
        </w:rPr>
        <w:t xml:space="preserve">”- </w:t>
      </w:r>
    </w:p>
    <w:bookmarkEnd w:id="0"/>
    <w:p w14:paraId="35BE4B89" w14:textId="77777777" w:rsidR="00E85DD7" w:rsidRPr="00115DDA" w:rsidRDefault="00E85DD7" w:rsidP="00E85DD7">
      <w:pPr>
        <w:pStyle w:val="MEAuzhlung1"/>
        <w:numPr>
          <w:ilvl w:val="0"/>
          <w:numId w:val="7"/>
        </w:numPr>
        <w:ind w:hanging="720"/>
        <w:rPr>
          <w:sz w:val="20"/>
          <w:szCs w:val="20"/>
          <w:lang w:val="en-GB"/>
        </w:rPr>
      </w:pPr>
      <w:r w:rsidRPr="00115DDA">
        <w:rPr>
          <w:b/>
          <w:sz w:val="20"/>
          <w:szCs w:val="20"/>
          <w:lang w:val="en-GB"/>
        </w:rPr>
        <w:t>[●]</w:t>
      </w:r>
      <w:r w:rsidRPr="00115DDA">
        <w:rPr>
          <w:sz w:val="20"/>
          <w:szCs w:val="20"/>
          <w:lang w:val="en-GB"/>
        </w:rPr>
        <w:t>, born on [●], with address at [●], [●],</w:t>
      </w:r>
    </w:p>
    <w:p w14:paraId="0B2A6DC1" w14:textId="025D264B" w:rsidR="00963432" w:rsidRPr="00115DDA" w:rsidRDefault="00E85DD7" w:rsidP="00115DDA">
      <w:pPr>
        <w:pStyle w:val="MEAuzhlung1"/>
        <w:numPr>
          <w:ilvl w:val="0"/>
          <w:numId w:val="8"/>
        </w:numPr>
        <w:jc w:val="right"/>
        <w:rPr>
          <w:sz w:val="20"/>
          <w:szCs w:val="20"/>
          <w:lang w:val="en-GB"/>
        </w:rPr>
      </w:pPr>
      <w:r w:rsidRPr="00115DDA">
        <w:rPr>
          <w:sz w:val="20"/>
          <w:szCs w:val="20"/>
          <w:lang w:val="en-GB"/>
        </w:rPr>
        <w:t>“</w:t>
      </w:r>
      <w:r w:rsidRPr="00115DDA">
        <w:rPr>
          <w:b/>
          <w:sz w:val="20"/>
          <w:szCs w:val="20"/>
          <w:lang w:val="en-GB"/>
        </w:rPr>
        <w:t>Founder</w:t>
      </w:r>
      <w:r w:rsidR="00DA7AE3">
        <w:rPr>
          <w:b/>
          <w:sz w:val="20"/>
          <w:szCs w:val="20"/>
          <w:lang w:val="en-GB"/>
        </w:rPr>
        <w:t>/Shareholder</w:t>
      </w:r>
      <w:r w:rsidRPr="00115DDA">
        <w:rPr>
          <w:b/>
          <w:sz w:val="20"/>
          <w:szCs w:val="20"/>
          <w:lang w:val="en-GB"/>
        </w:rPr>
        <w:t xml:space="preserve"> 3</w:t>
      </w:r>
      <w:r w:rsidRPr="00115DDA">
        <w:rPr>
          <w:sz w:val="20"/>
          <w:szCs w:val="20"/>
          <w:lang w:val="en-GB"/>
        </w:rPr>
        <w:t xml:space="preserve">”- </w:t>
      </w:r>
    </w:p>
    <w:p w14:paraId="515FB7A7" w14:textId="77777777" w:rsidR="00963432" w:rsidRDefault="00963432" w:rsidP="00963432">
      <w:pPr>
        <w:pBdr>
          <w:top w:val="nil"/>
          <w:left w:val="nil"/>
          <w:bottom w:val="nil"/>
          <w:right w:val="nil"/>
          <w:between w:val="nil"/>
        </w:pBdr>
        <w:spacing w:before="0" w:line="300" w:lineRule="auto"/>
        <w:contextualSpacing/>
        <w:jc w:val="both"/>
        <w:rPr>
          <w:b/>
          <w:color w:val="000000"/>
        </w:rPr>
      </w:pPr>
      <w:r>
        <w:rPr>
          <w:b/>
          <w:color w:val="000000"/>
        </w:rPr>
        <w:t>And</w:t>
      </w:r>
    </w:p>
    <w:p w14:paraId="313B9B2E" w14:textId="77777777" w:rsidR="00963432" w:rsidRDefault="00963432" w:rsidP="00963432">
      <w:pPr>
        <w:pBdr>
          <w:top w:val="nil"/>
          <w:left w:val="nil"/>
          <w:bottom w:val="nil"/>
          <w:right w:val="nil"/>
          <w:between w:val="nil"/>
        </w:pBdr>
        <w:spacing w:before="0" w:line="300" w:lineRule="auto"/>
        <w:contextualSpacing/>
        <w:jc w:val="both"/>
        <w:rPr>
          <w:b/>
          <w:color w:val="000000"/>
        </w:rPr>
      </w:pPr>
    </w:p>
    <w:p w14:paraId="75C14879" w14:textId="60156E76" w:rsidR="00963432" w:rsidRPr="00115DDA" w:rsidRDefault="00963432" w:rsidP="00963432">
      <w:pPr>
        <w:pBdr>
          <w:top w:val="nil"/>
          <w:left w:val="nil"/>
          <w:bottom w:val="nil"/>
          <w:right w:val="nil"/>
          <w:between w:val="nil"/>
        </w:pBdr>
        <w:spacing w:before="0" w:line="300" w:lineRule="auto"/>
        <w:contextualSpacing/>
        <w:jc w:val="both"/>
        <w:rPr>
          <w:b/>
          <w:color w:val="000000"/>
          <w:sz w:val="20"/>
          <w:szCs w:val="20"/>
        </w:rPr>
      </w:pPr>
      <w:r w:rsidRPr="00115DDA">
        <w:rPr>
          <w:b/>
          <w:color w:val="000000"/>
          <w:sz w:val="20"/>
          <w:szCs w:val="20"/>
        </w:rPr>
        <w:t>EIT Digital IVZW</w:t>
      </w:r>
      <w:r w:rsidRPr="00115DDA">
        <w:rPr>
          <w:color w:val="000000"/>
          <w:sz w:val="20"/>
          <w:szCs w:val="20"/>
        </w:rPr>
        <w:t xml:space="preserve">, an international non-profit association incorporated under Belgian Law, with registered office at Rue </w:t>
      </w:r>
      <w:proofErr w:type="spellStart"/>
      <w:r w:rsidRPr="00115DDA">
        <w:rPr>
          <w:color w:val="000000"/>
          <w:sz w:val="20"/>
          <w:szCs w:val="20"/>
        </w:rPr>
        <w:t>Guimard</w:t>
      </w:r>
      <w:proofErr w:type="spellEnd"/>
      <w:r w:rsidRPr="00115DDA">
        <w:rPr>
          <w:color w:val="000000"/>
          <w:sz w:val="20"/>
          <w:szCs w:val="20"/>
        </w:rPr>
        <w:t xml:space="preserve">, 7, 1040 Brussels, Belgium, registered with the Crossroads Bank for Enterprises under the number 0831.431.639, </w:t>
      </w:r>
      <w:r w:rsidRPr="00115DDA">
        <w:rPr>
          <w:bCs/>
          <w:color w:val="000000"/>
          <w:sz w:val="20"/>
          <w:szCs w:val="20"/>
        </w:rPr>
        <w:t>represented by Mr. Willem Jonker, CEO.</w:t>
      </w:r>
    </w:p>
    <w:p w14:paraId="126E7D2E" w14:textId="153A89CD" w:rsidR="0020107D" w:rsidRPr="00115DDA" w:rsidRDefault="00963432" w:rsidP="00115DDA">
      <w:pPr>
        <w:pBdr>
          <w:top w:val="nil"/>
          <w:left w:val="nil"/>
          <w:bottom w:val="nil"/>
          <w:right w:val="nil"/>
          <w:between w:val="nil"/>
        </w:pBdr>
        <w:spacing w:line="300" w:lineRule="auto"/>
        <w:jc w:val="both"/>
        <w:rPr>
          <w:color w:val="000000"/>
          <w:sz w:val="20"/>
          <w:szCs w:val="20"/>
        </w:rPr>
      </w:pPr>
      <w:r w:rsidRPr="00115DDA">
        <w:rPr>
          <w:color w:val="000000"/>
          <w:sz w:val="20"/>
          <w:szCs w:val="20"/>
        </w:rPr>
        <w:t>Hereinafter referred to as “EIT Digital”;</w:t>
      </w:r>
    </w:p>
    <w:p w14:paraId="01C537FF" w14:textId="77777777" w:rsidR="00115DDA" w:rsidRPr="00115DDA" w:rsidRDefault="00115DDA" w:rsidP="00115DDA">
      <w:pPr>
        <w:pBdr>
          <w:top w:val="nil"/>
          <w:left w:val="nil"/>
          <w:bottom w:val="nil"/>
          <w:right w:val="nil"/>
          <w:between w:val="nil"/>
        </w:pBdr>
        <w:spacing w:line="300" w:lineRule="auto"/>
        <w:jc w:val="both"/>
        <w:rPr>
          <w:color w:val="000000"/>
        </w:rPr>
      </w:pPr>
    </w:p>
    <w:tbl>
      <w:tblPr>
        <w:tblStyle w:val="a"/>
        <w:tblW w:w="10270" w:type="dxa"/>
        <w:tblInd w:w="-459" w:type="dxa"/>
        <w:tblLayout w:type="fixed"/>
        <w:tblLook w:val="0000" w:firstRow="0" w:lastRow="0" w:firstColumn="0" w:lastColumn="0" w:noHBand="0" w:noVBand="0"/>
      </w:tblPr>
      <w:tblGrid>
        <w:gridCol w:w="2628"/>
        <w:gridCol w:w="7642"/>
      </w:tblGrid>
      <w:tr w:rsidR="002E6D48" w:rsidRPr="002E6D48" w14:paraId="4BE3E2C1" w14:textId="77777777">
        <w:tc>
          <w:tcPr>
            <w:tcW w:w="2628" w:type="dxa"/>
          </w:tcPr>
          <w:p w14:paraId="33C501F0" w14:textId="77777777" w:rsidR="0020107D" w:rsidRPr="002E6D48" w:rsidRDefault="00A94ECB">
            <w:pPr>
              <w:pBdr>
                <w:top w:val="nil"/>
                <w:left w:val="nil"/>
                <w:bottom w:val="nil"/>
                <w:right w:val="nil"/>
                <w:between w:val="nil"/>
              </w:pBdr>
              <w:spacing w:before="80" w:after="80"/>
              <w:rPr>
                <w:b/>
                <w:sz w:val="20"/>
                <w:szCs w:val="20"/>
              </w:rPr>
            </w:pPr>
            <w:r w:rsidRPr="002E6D48">
              <w:rPr>
                <w:b/>
                <w:sz w:val="20"/>
                <w:szCs w:val="20"/>
              </w:rPr>
              <w:t xml:space="preserve">Background </w:t>
            </w:r>
          </w:p>
        </w:tc>
        <w:tc>
          <w:tcPr>
            <w:tcW w:w="7642" w:type="dxa"/>
          </w:tcPr>
          <w:p w14:paraId="07670000" w14:textId="4CEA99CC" w:rsidR="004F020C" w:rsidRPr="002E6D48" w:rsidRDefault="004F020C">
            <w:pPr>
              <w:pBdr>
                <w:top w:val="nil"/>
                <w:left w:val="nil"/>
                <w:bottom w:val="nil"/>
                <w:right w:val="nil"/>
                <w:between w:val="nil"/>
              </w:pBdr>
              <w:spacing w:before="80" w:after="80"/>
              <w:jc w:val="both"/>
              <w:rPr>
                <w:sz w:val="20"/>
                <w:szCs w:val="20"/>
              </w:rPr>
            </w:pPr>
            <w:r w:rsidRPr="002E6D48">
              <w:rPr>
                <w:sz w:val="20"/>
                <w:szCs w:val="20"/>
              </w:rPr>
              <w:t xml:space="preserve">[Name] </w:t>
            </w:r>
            <w:r w:rsidR="00A94ECB" w:rsidRPr="002E6D48">
              <w:rPr>
                <w:sz w:val="20"/>
                <w:szCs w:val="20"/>
              </w:rPr>
              <w:t xml:space="preserve">is a start-up based in </w:t>
            </w:r>
            <w:r w:rsidRPr="002E6D48">
              <w:rPr>
                <w:sz w:val="20"/>
                <w:szCs w:val="20"/>
              </w:rPr>
              <w:t xml:space="preserve">[●] (in the following the </w:t>
            </w:r>
            <w:r w:rsidRPr="00374421">
              <w:rPr>
                <w:bCs/>
                <w:sz w:val="20"/>
                <w:szCs w:val="20"/>
              </w:rPr>
              <w:t>“</w:t>
            </w:r>
            <w:r w:rsidR="00963432">
              <w:rPr>
                <w:b/>
                <w:sz w:val="20"/>
                <w:szCs w:val="20"/>
              </w:rPr>
              <w:t>Company</w:t>
            </w:r>
            <w:r w:rsidRPr="00374421">
              <w:rPr>
                <w:bCs/>
                <w:sz w:val="20"/>
                <w:szCs w:val="20"/>
              </w:rPr>
              <w:t>”</w:t>
            </w:r>
            <w:r w:rsidRPr="002E6D48">
              <w:rPr>
                <w:sz w:val="20"/>
                <w:szCs w:val="20"/>
              </w:rPr>
              <w:t>)</w:t>
            </w:r>
            <w:r w:rsidR="00A94ECB" w:rsidRPr="002E6D48">
              <w:rPr>
                <w:sz w:val="20"/>
                <w:szCs w:val="20"/>
              </w:rPr>
              <w:t xml:space="preserve">. </w:t>
            </w:r>
          </w:p>
          <w:p w14:paraId="6F6F8833" w14:textId="4A92B86D" w:rsidR="0020107D" w:rsidRPr="002E6D48" w:rsidRDefault="004F020C">
            <w:pPr>
              <w:pBdr>
                <w:top w:val="nil"/>
                <w:left w:val="nil"/>
                <w:bottom w:val="nil"/>
                <w:right w:val="nil"/>
                <w:between w:val="nil"/>
              </w:pBdr>
              <w:spacing w:before="80" w:after="80"/>
              <w:jc w:val="both"/>
              <w:rPr>
                <w:sz w:val="20"/>
                <w:szCs w:val="20"/>
              </w:rPr>
            </w:pPr>
            <w:r w:rsidRPr="002E6D48">
              <w:rPr>
                <w:sz w:val="20"/>
                <w:szCs w:val="20"/>
              </w:rPr>
              <w:t xml:space="preserve">The </w:t>
            </w:r>
            <w:r w:rsidR="00963432">
              <w:rPr>
                <w:sz w:val="20"/>
                <w:szCs w:val="20"/>
              </w:rPr>
              <w:t>Company</w:t>
            </w:r>
            <w:r w:rsidR="00EF3762">
              <w:rPr>
                <w:sz w:val="20"/>
                <w:szCs w:val="20"/>
              </w:rPr>
              <w:t xml:space="preserve"> </w:t>
            </w:r>
            <w:r w:rsidR="00C749C1">
              <w:rPr>
                <w:sz w:val="20"/>
                <w:szCs w:val="20"/>
              </w:rPr>
              <w:t xml:space="preserve">intends to participate in </w:t>
            </w:r>
            <w:r w:rsidR="00BE2469">
              <w:rPr>
                <w:sz w:val="20"/>
                <w:szCs w:val="20"/>
              </w:rPr>
              <w:t>EIT Digital</w:t>
            </w:r>
            <w:r w:rsidR="00A94ECB" w:rsidRPr="002E6D48">
              <w:rPr>
                <w:sz w:val="20"/>
                <w:szCs w:val="20"/>
              </w:rPr>
              <w:t xml:space="preserve">´s </w:t>
            </w:r>
            <w:r w:rsidR="004D4980">
              <w:rPr>
                <w:sz w:val="20"/>
                <w:szCs w:val="20"/>
              </w:rPr>
              <w:t>Innovation project using</w:t>
            </w:r>
            <w:r w:rsidR="00C749C1">
              <w:rPr>
                <w:sz w:val="20"/>
                <w:szCs w:val="20"/>
              </w:rPr>
              <w:t xml:space="preserve"> the </w:t>
            </w:r>
            <w:r w:rsidR="00963432">
              <w:rPr>
                <w:sz w:val="20"/>
                <w:szCs w:val="20"/>
              </w:rPr>
              <w:t>Activity</w:t>
            </w:r>
            <w:r w:rsidR="00681DC3">
              <w:rPr>
                <w:sz w:val="20"/>
                <w:szCs w:val="20"/>
              </w:rPr>
              <w:t xml:space="preserve"> (the </w:t>
            </w:r>
            <w:r w:rsidR="00681DC3" w:rsidRPr="0010522F">
              <w:rPr>
                <w:b/>
                <w:bCs/>
                <w:sz w:val="20"/>
                <w:szCs w:val="20"/>
              </w:rPr>
              <w:t>“</w:t>
            </w:r>
            <w:r w:rsidR="00963432">
              <w:rPr>
                <w:b/>
                <w:bCs/>
                <w:sz w:val="20"/>
                <w:szCs w:val="20"/>
              </w:rPr>
              <w:t>Activity</w:t>
            </w:r>
            <w:r w:rsidR="00681DC3" w:rsidRPr="0010522F">
              <w:rPr>
                <w:b/>
                <w:bCs/>
                <w:sz w:val="20"/>
                <w:szCs w:val="20"/>
              </w:rPr>
              <w:t>”</w:t>
            </w:r>
            <w:r w:rsidR="00681DC3">
              <w:rPr>
                <w:sz w:val="20"/>
                <w:szCs w:val="20"/>
              </w:rPr>
              <w:t>)</w:t>
            </w:r>
            <w:r w:rsidR="00A94ECB" w:rsidRPr="002E6D48">
              <w:rPr>
                <w:sz w:val="20"/>
                <w:szCs w:val="20"/>
              </w:rPr>
              <w:t xml:space="preserve">. </w:t>
            </w:r>
            <w:r w:rsidR="00586CEA">
              <w:rPr>
                <w:sz w:val="20"/>
                <w:szCs w:val="20"/>
              </w:rPr>
              <w:t xml:space="preserve">The </w:t>
            </w:r>
            <w:r w:rsidR="00963432">
              <w:rPr>
                <w:sz w:val="20"/>
                <w:szCs w:val="20"/>
              </w:rPr>
              <w:t>Activity</w:t>
            </w:r>
            <w:r w:rsidR="00586CEA">
              <w:rPr>
                <w:sz w:val="20"/>
                <w:szCs w:val="20"/>
              </w:rPr>
              <w:t xml:space="preserve"> </w:t>
            </w:r>
            <w:r w:rsidR="00105C4B">
              <w:rPr>
                <w:bCs/>
                <w:sz w:val="20"/>
                <w:szCs w:val="20"/>
              </w:rPr>
              <w:t xml:space="preserve">focuses on </w:t>
            </w:r>
            <w:r w:rsidR="00963432">
              <w:rPr>
                <w:bCs/>
                <w:sz w:val="20"/>
                <w:szCs w:val="20"/>
              </w:rPr>
              <w:t xml:space="preserve">supporting </w:t>
            </w:r>
            <w:r w:rsidR="00D35580">
              <w:rPr>
                <w:bCs/>
                <w:sz w:val="20"/>
                <w:szCs w:val="20"/>
              </w:rPr>
              <w:t>innovati</w:t>
            </w:r>
            <w:r w:rsidR="0067598A">
              <w:rPr>
                <w:bCs/>
                <w:sz w:val="20"/>
                <w:szCs w:val="20"/>
              </w:rPr>
              <w:t xml:space="preserve">ve start-ups. In </w:t>
            </w:r>
            <w:r w:rsidR="00963432">
              <w:rPr>
                <w:bCs/>
                <w:sz w:val="20"/>
                <w:szCs w:val="20"/>
              </w:rPr>
              <w:t>consideration for the grant provided by EIT Digital</w:t>
            </w:r>
            <w:r w:rsidR="0067598A">
              <w:rPr>
                <w:bCs/>
                <w:sz w:val="20"/>
                <w:szCs w:val="20"/>
              </w:rPr>
              <w:t xml:space="preserve">, </w:t>
            </w:r>
            <w:r w:rsidR="00BE2469">
              <w:rPr>
                <w:bCs/>
                <w:sz w:val="20"/>
                <w:szCs w:val="20"/>
              </w:rPr>
              <w:t>EIT Digital</w:t>
            </w:r>
            <w:r w:rsidR="0067598A">
              <w:rPr>
                <w:bCs/>
                <w:sz w:val="20"/>
                <w:szCs w:val="20"/>
              </w:rPr>
              <w:t xml:space="preserve"> shall assume a participation in the </w:t>
            </w:r>
            <w:r w:rsidR="00963432">
              <w:rPr>
                <w:bCs/>
                <w:sz w:val="20"/>
                <w:szCs w:val="20"/>
              </w:rPr>
              <w:t>Company</w:t>
            </w:r>
            <w:r w:rsidR="0067598A">
              <w:rPr>
                <w:bCs/>
                <w:sz w:val="20"/>
                <w:szCs w:val="20"/>
              </w:rPr>
              <w:t xml:space="preserve">, which will be structured as a participation by </w:t>
            </w:r>
            <w:r w:rsidR="00105C4B">
              <w:rPr>
                <w:bCs/>
                <w:sz w:val="20"/>
                <w:szCs w:val="20"/>
              </w:rPr>
              <w:t>options</w:t>
            </w:r>
            <w:r w:rsidR="00651A31">
              <w:rPr>
                <w:bCs/>
                <w:sz w:val="20"/>
                <w:szCs w:val="20"/>
              </w:rPr>
              <w:t xml:space="preserve"> (each an “</w:t>
            </w:r>
            <w:r w:rsidR="00651A31" w:rsidRPr="00374421">
              <w:rPr>
                <w:b/>
                <w:sz w:val="20"/>
                <w:szCs w:val="20"/>
              </w:rPr>
              <w:t>Option</w:t>
            </w:r>
            <w:r w:rsidR="00651A31">
              <w:rPr>
                <w:bCs/>
                <w:sz w:val="20"/>
                <w:szCs w:val="20"/>
              </w:rPr>
              <w:t>” and together the “</w:t>
            </w:r>
            <w:r w:rsidR="00651A31" w:rsidRPr="00374421">
              <w:rPr>
                <w:b/>
                <w:sz w:val="20"/>
                <w:szCs w:val="20"/>
              </w:rPr>
              <w:t>Options</w:t>
            </w:r>
            <w:r w:rsidR="00651A31">
              <w:rPr>
                <w:bCs/>
                <w:sz w:val="20"/>
                <w:szCs w:val="20"/>
              </w:rPr>
              <w:t>”)</w:t>
            </w:r>
            <w:r w:rsidR="007E0930" w:rsidRPr="007E0930">
              <w:rPr>
                <w:sz w:val="20"/>
                <w:szCs w:val="20"/>
              </w:rPr>
              <w:t>.</w:t>
            </w:r>
            <w:r w:rsidR="007E0930">
              <w:rPr>
                <w:sz w:val="20"/>
                <w:szCs w:val="20"/>
              </w:rPr>
              <w:t xml:space="preserve"> </w:t>
            </w:r>
          </w:p>
          <w:p w14:paraId="5AAA07EA" w14:textId="77777777" w:rsidR="0020107D" w:rsidRDefault="00681DC3">
            <w:pPr>
              <w:pBdr>
                <w:top w:val="nil"/>
                <w:left w:val="nil"/>
                <w:bottom w:val="nil"/>
                <w:right w:val="nil"/>
                <w:between w:val="nil"/>
              </w:pBdr>
              <w:spacing w:before="80" w:after="80"/>
              <w:jc w:val="both"/>
              <w:rPr>
                <w:sz w:val="20"/>
                <w:szCs w:val="20"/>
              </w:rPr>
            </w:pPr>
            <w:r>
              <w:rPr>
                <w:bCs/>
                <w:sz w:val="20"/>
                <w:szCs w:val="20"/>
              </w:rPr>
              <w:t xml:space="preserve">The </w:t>
            </w:r>
            <w:r w:rsidR="00963432">
              <w:rPr>
                <w:bCs/>
                <w:sz w:val="20"/>
                <w:szCs w:val="20"/>
              </w:rPr>
              <w:t>Company</w:t>
            </w:r>
            <w:r w:rsidR="00035AA8" w:rsidRPr="002E6D48">
              <w:rPr>
                <w:bCs/>
                <w:sz w:val="20"/>
                <w:szCs w:val="20"/>
              </w:rPr>
              <w:t xml:space="preserve"> </w:t>
            </w:r>
            <w:r w:rsidR="00A94ECB" w:rsidRPr="002E6D48">
              <w:rPr>
                <w:sz w:val="20"/>
                <w:szCs w:val="20"/>
              </w:rPr>
              <w:t xml:space="preserve">was </w:t>
            </w:r>
            <w:r w:rsidR="007E0930">
              <w:rPr>
                <w:sz w:val="20"/>
                <w:szCs w:val="20"/>
              </w:rPr>
              <w:t xml:space="preserve">accepted to the </w:t>
            </w:r>
            <w:r w:rsidR="00963432">
              <w:rPr>
                <w:sz w:val="20"/>
                <w:szCs w:val="20"/>
              </w:rPr>
              <w:t>Activity</w:t>
            </w:r>
            <w:r w:rsidR="00953935">
              <w:rPr>
                <w:sz w:val="20"/>
                <w:szCs w:val="20"/>
              </w:rPr>
              <w:t xml:space="preserve"> </w:t>
            </w:r>
            <w:r w:rsidR="00A94ECB" w:rsidRPr="002E6D48">
              <w:rPr>
                <w:sz w:val="20"/>
                <w:szCs w:val="20"/>
              </w:rPr>
              <w:t xml:space="preserve">and </w:t>
            </w:r>
            <w:r>
              <w:rPr>
                <w:sz w:val="20"/>
                <w:szCs w:val="20"/>
              </w:rPr>
              <w:t xml:space="preserve">shall </w:t>
            </w:r>
            <w:r w:rsidR="00A94ECB" w:rsidRPr="002E6D48">
              <w:rPr>
                <w:sz w:val="20"/>
                <w:szCs w:val="20"/>
              </w:rPr>
              <w:t xml:space="preserve">thus </w:t>
            </w:r>
            <w:r>
              <w:rPr>
                <w:sz w:val="20"/>
                <w:szCs w:val="20"/>
              </w:rPr>
              <w:t xml:space="preserve">be </w:t>
            </w:r>
            <w:r w:rsidR="00A94ECB" w:rsidRPr="002E6D48">
              <w:rPr>
                <w:sz w:val="20"/>
                <w:szCs w:val="20"/>
              </w:rPr>
              <w:t xml:space="preserve">entitled to </w:t>
            </w:r>
            <w:r w:rsidR="00963432">
              <w:rPr>
                <w:sz w:val="20"/>
                <w:szCs w:val="20"/>
              </w:rPr>
              <w:t>take advantage</w:t>
            </w:r>
            <w:r w:rsidR="00A94ECB" w:rsidRPr="002E6D48">
              <w:rPr>
                <w:sz w:val="20"/>
                <w:szCs w:val="20"/>
              </w:rPr>
              <w:t xml:space="preserve"> from </w:t>
            </w:r>
            <w:r w:rsidR="00953935">
              <w:rPr>
                <w:sz w:val="20"/>
                <w:szCs w:val="20"/>
              </w:rPr>
              <w:t xml:space="preserve">its </w:t>
            </w:r>
            <w:r w:rsidR="00A94ECB" w:rsidRPr="002E6D48">
              <w:rPr>
                <w:sz w:val="20"/>
                <w:szCs w:val="20"/>
              </w:rPr>
              <w:t xml:space="preserve">benefits. </w:t>
            </w:r>
            <w:r w:rsidR="007E0930">
              <w:rPr>
                <w:sz w:val="20"/>
                <w:szCs w:val="20"/>
              </w:rPr>
              <w:t>This Term Sheet describes t</w:t>
            </w:r>
            <w:r w:rsidR="00A94ECB" w:rsidRPr="002E6D48">
              <w:rPr>
                <w:sz w:val="20"/>
                <w:szCs w:val="20"/>
              </w:rPr>
              <w:t xml:space="preserve">he principal terms and conditions with respect to the </w:t>
            </w:r>
            <w:r w:rsidR="00963432">
              <w:rPr>
                <w:sz w:val="20"/>
                <w:szCs w:val="20"/>
              </w:rPr>
              <w:t>Activity</w:t>
            </w:r>
            <w:r w:rsidR="007E0930">
              <w:rPr>
                <w:sz w:val="20"/>
                <w:szCs w:val="20"/>
              </w:rPr>
              <w:t>.</w:t>
            </w:r>
            <w:r w:rsidR="00A94ECB" w:rsidRPr="002E6D48">
              <w:rPr>
                <w:sz w:val="20"/>
                <w:szCs w:val="20"/>
              </w:rPr>
              <w:t xml:space="preserve"> </w:t>
            </w:r>
            <w:r w:rsidR="00501668">
              <w:rPr>
                <w:sz w:val="20"/>
                <w:szCs w:val="20"/>
              </w:rPr>
              <w:t>Based on</w:t>
            </w:r>
            <w:r w:rsidR="007E0930">
              <w:rPr>
                <w:sz w:val="20"/>
                <w:szCs w:val="20"/>
              </w:rPr>
              <w:t xml:space="preserve"> this Term Sheet the Parties intend to enter into binding agreements. </w:t>
            </w:r>
          </w:p>
          <w:p w14:paraId="24C8F175" w14:textId="382E135F" w:rsidR="00115DDA" w:rsidRPr="002E6D48" w:rsidRDefault="00115DDA">
            <w:pPr>
              <w:pBdr>
                <w:top w:val="nil"/>
                <w:left w:val="nil"/>
                <w:bottom w:val="nil"/>
                <w:right w:val="nil"/>
                <w:between w:val="nil"/>
              </w:pBdr>
              <w:spacing w:before="80" w:after="80"/>
              <w:jc w:val="both"/>
              <w:rPr>
                <w:sz w:val="20"/>
                <w:szCs w:val="20"/>
              </w:rPr>
            </w:pPr>
          </w:p>
        </w:tc>
      </w:tr>
      <w:tr w:rsidR="002E6D48" w:rsidRPr="002E6D48" w14:paraId="76D99680" w14:textId="77777777">
        <w:tc>
          <w:tcPr>
            <w:tcW w:w="2628" w:type="dxa"/>
          </w:tcPr>
          <w:p w14:paraId="24E2FF7E" w14:textId="2E0AFFB6" w:rsidR="00035AA8" w:rsidRPr="002E6D48" w:rsidRDefault="00035AA8">
            <w:pPr>
              <w:pBdr>
                <w:top w:val="nil"/>
                <w:left w:val="nil"/>
                <w:bottom w:val="nil"/>
                <w:right w:val="nil"/>
                <w:between w:val="nil"/>
              </w:pBdr>
              <w:spacing w:before="80" w:after="80"/>
              <w:rPr>
                <w:b/>
                <w:sz w:val="20"/>
                <w:szCs w:val="20"/>
              </w:rPr>
            </w:pPr>
            <w:r w:rsidRPr="002E6D48">
              <w:rPr>
                <w:b/>
                <w:sz w:val="20"/>
                <w:szCs w:val="20"/>
              </w:rPr>
              <w:lastRenderedPageBreak/>
              <w:t xml:space="preserve">Shareholding </w:t>
            </w:r>
          </w:p>
        </w:tc>
        <w:tc>
          <w:tcPr>
            <w:tcW w:w="7642" w:type="dxa"/>
          </w:tcPr>
          <w:p w14:paraId="4A03BDD4" w14:textId="55898594" w:rsidR="00035AA8" w:rsidRPr="00115DDA" w:rsidRDefault="007E0930" w:rsidP="00035AA8">
            <w:pPr>
              <w:pBdr>
                <w:top w:val="nil"/>
                <w:left w:val="nil"/>
                <w:bottom w:val="nil"/>
                <w:right w:val="nil"/>
                <w:between w:val="nil"/>
              </w:pBdr>
              <w:spacing w:before="80" w:after="80"/>
              <w:jc w:val="both"/>
              <w:rPr>
                <w:sz w:val="20"/>
                <w:szCs w:val="20"/>
              </w:rPr>
            </w:pPr>
            <w:r w:rsidRPr="00115DDA">
              <w:rPr>
                <w:sz w:val="20"/>
                <w:szCs w:val="20"/>
              </w:rPr>
              <w:t xml:space="preserve">Currently </w:t>
            </w:r>
            <w:r w:rsidR="00035AA8" w:rsidRPr="00115DDA">
              <w:rPr>
                <w:sz w:val="20"/>
                <w:szCs w:val="20"/>
              </w:rPr>
              <w:t xml:space="preserve">the </w:t>
            </w:r>
            <w:r w:rsidRPr="00115DDA">
              <w:rPr>
                <w:sz w:val="20"/>
                <w:szCs w:val="20"/>
              </w:rPr>
              <w:t xml:space="preserve">shareholder </w:t>
            </w:r>
            <w:r w:rsidR="00681DC3" w:rsidRPr="00115DDA">
              <w:rPr>
                <w:sz w:val="20"/>
                <w:szCs w:val="20"/>
              </w:rPr>
              <w:t xml:space="preserve">structure of the </w:t>
            </w:r>
            <w:r w:rsidR="00963432" w:rsidRPr="00115DDA">
              <w:rPr>
                <w:sz w:val="20"/>
                <w:szCs w:val="20"/>
              </w:rPr>
              <w:t>Company</w:t>
            </w:r>
            <w:r w:rsidR="00681DC3" w:rsidRPr="00115DDA">
              <w:rPr>
                <w:sz w:val="20"/>
                <w:szCs w:val="20"/>
              </w:rPr>
              <w:t xml:space="preserve"> </w:t>
            </w:r>
            <w:r w:rsidRPr="00115DDA">
              <w:rPr>
                <w:sz w:val="20"/>
                <w:szCs w:val="20"/>
              </w:rPr>
              <w:t>is as follows</w:t>
            </w:r>
            <w:r w:rsidR="00035AA8" w:rsidRPr="00115DDA">
              <w:rPr>
                <w:sz w:val="20"/>
                <w:szCs w:val="20"/>
              </w:rPr>
              <w:t xml:space="preserve">: </w:t>
            </w:r>
          </w:p>
          <w:tbl>
            <w:tblPr>
              <w:tblStyle w:val="a0"/>
              <w:tblW w:w="73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52"/>
              <w:gridCol w:w="2452"/>
              <w:gridCol w:w="2453"/>
            </w:tblGrid>
            <w:tr w:rsidR="002E6D48" w:rsidRPr="00115DDA" w14:paraId="24605DB3" w14:textId="77777777" w:rsidTr="00595B37">
              <w:tc>
                <w:tcPr>
                  <w:tcW w:w="2452" w:type="dxa"/>
                  <w:shd w:val="clear" w:color="auto" w:fill="BFBFBF"/>
                </w:tcPr>
                <w:p w14:paraId="0C9642FD" w14:textId="77777777" w:rsidR="00035AA8" w:rsidRPr="00115DDA" w:rsidRDefault="00035AA8" w:rsidP="00035AA8">
                  <w:pPr>
                    <w:pBdr>
                      <w:top w:val="nil"/>
                      <w:left w:val="nil"/>
                      <w:bottom w:val="nil"/>
                      <w:right w:val="nil"/>
                      <w:between w:val="nil"/>
                    </w:pBdr>
                    <w:spacing w:before="80" w:after="80" w:line="312" w:lineRule="auto"/>
                    <w:jc w:val="both"/>
                    <w:rPr>
                      <w:rFonts w:ascii="Arial" w:eastAsia="Arial" w:hAnsi="Arial" w:cs="Arial"/>
                      <w:b/>
                      <w:sz w:val="20"/>
                      <w:szCs w:val="20"/>
                    </w:rPr>
                  </w:pPr>
                  <w:r w:rsidRPr="00115DDA">
                    <w:rPr>
                      <w:rFonts w:ascii="Arial" w:eastAsia="Arial" w:hAnsi="Arial" w:cs="Arial"/>
                      <w:b/>
                      <w:sz w:val="20"/>
                      <w:szCs w:val="20"/>
                    </w:rPr>
                    <w:t>Shareholder</w:t>
                  </w:r>
                </w:p>
              </w:tc>
              <w:tc>
                <w:tcPr>
                  <w:tcW w:w="2452" w:type="dxa"/>
                  <w:shd w:val="clear" w:color="auto" w:fill="BFBFBF"/>
                </w:tcPr>
                <w:p w14:paraId="7B9496A2" w14:textId="77777777" w:rsidR="00035AA8" w:rsidRPr="00115DDA" w:rsidRDefault="00035AA8" w:rsidP="00035AA8">
                  <w:pPr>
                    <w:pBdr>
                      <w:top w:val="nil"/>
                      <w:left w:val="nil"/>
                      <w:bottom w:val="nil"/>
                      <w:right w:val="nil"/>
                      <w:between w:val="nil"/>
                    </w:pBdr>
                    <w:spacing w:before="80" w:after="80" w:line="312" w:lineRule="auto"/>
                    <w:jc w:val="both"/>
                    <w:rPr>
                      <w:rFonts w:ascii="Arial" w:eastAsia="Arial" w:hAnsi="Arial" w:cs="Arial"/>
                      <w:b/>
                      <w:sz w:val="20"/>
                      <w:szCs w:val="20"/>
                    </w:rPr>
                  </w:pPr>
                  <w:r w:rsidRPr="00115DDA">
                    <w:rPr>
                      <w:rFonts w:ascii="Arial" w:eastAsia="Arial" w:hAnsi="Arial" w:cs="Arial"/>
                      <w:b/>
                      <w:sz w:val="20"/>
                      <w:szCs w:val="20"/>
                    </w:rPr>
                    <w:t>Shares</w:t>
                  </w:r>
                </w:p>
              </w:tc>
              <w:tc>
                <w:tcPr>
                  <w:tcW w:w="2453" w:type="dxa"/>
                  <w:shd w:val="clear" w:color="auto" w:fill="BFBFBF"/>
                </w:tcPr>
                <w:p w14:paraId="0E63C3EF" w14:textId="77777777" w:rsidR="00035AA8" w:rsidRPr="00115DDA" w:rsidRDefault="00035AA8" w:rsidP="00035AA8">
                  <w:pPr>
                    <w:pBdr>
                      <w:top w:val="nil"/>
                      <w:left w:val="nil"/>
                      <w:bottom w:val="nil"/>
                      <w:right w:val="nil"/>
                      <w:between w:val="nil"/>
                    </w:pBdr>
                    <w:spacing w:before="80" w:after="80" w:line="312" w:lineRule="auto"/>
                    <w:jc w:val="both"/>
                    <w:rPr>
                      <w:rFonts w:ascii="Arial" w:eastAsia="Arial" w:hAnsi="Arial" w:cs="Arial"/>
                      <w:b/>
                      <w:sz w:val="20"/>
                      <w:szCs w:val="20"/>
                    </w:rPr>
                  </w:pPr>
                  <w:r w:rsidRPr="00115DDA">
                    <w:rPr>
                      <w:rFonts w:ascii="Arial" w:eastAsia="Arial" w:hAnsi="Arial" w:cs="Arial"/>
                      <w:b/>
                      <w:sz w:val="20"/>
                      <w:szCs w:val="20"/>
                    </w:rPr>
                    <w:t>Shareholding</w:t>
                  </w:r>
                </w:p>
              </w:tc>
            </w:tr>
            <w:tr w:rsidR="002E6D48" w:rsidRPr="00115DDA" w14:paraId="33F5BF5F" w14:textId="77777777" w:rsidTr="00595B37">
              <w:tc>
                <w:tcPr>
                  <w:tcW w:w="2452" w:type="dxa"/>
                </w:tcPr>
                <w:p w14:paraId="1FF76682" w14:textId="77777777" w:rsidR="00035AA8" w:rsidRPr="00115DDA" w:rsidRDefault="00035AA8" w:rsidP="00035AA8">
                  <w:pPr>
                    <w:pBdr>
                      <w:top w:val="nil"/>
                      <w:left w:val="nil"/>
                      <w:bottom w:val="nil"/>
                      <w:right w:val="nil"/>
                      <w:between w:val="nil"/>
                    </w:pBdr>
                    <w:spacing w:before="80" w:after="80" w:line="312" w:lineRule="auto"/>
                    <w:jc w:val="both"/>
                    <w:rPr>
                      <w:rFonts w:ascii="Arial" w:eastAsia="Arial" w:hAnsi="Arial" w:cs="Arial"/>
                      <w:sz w:val="20"/>
                      <w:szCs w:val="20"/>
                    </w:rPr>
                  </w:pPr>
                </w:p>
              </w:tc>
              <w:tc>
                <w:tcPr>
                  <w:tcW w:w="2452" w:type="dxa"/>
                </w:tcPr>
                <w:p w14:paraId="712451D4" w14:textId="77777777" w:rsidR="00035AA8" w:rsidRPr="00115DDA" w:rsidRDefault="00035AA8" w:rsidP="00035AA8">
                  <w:pPr>
                    <w:pBdr>
                      <w:top w:val="nil"/>
                      <w:left w:val="nil"/>
                      <w:bottom w:val="nil"/>
                      <w:right w:val="nil"/>
                      <w:between w:val="nil"/>
                    </w:pBdr>
                    <w:spacing w:before="80" w:after="80" w:line="312" w:lineRule="auto"/>
                    <w:jc w:val="both"/>
                    <w:rPr>
                      <w:rFonts w:ascii="Arial" w:eastAsia="Arial" w:hAnsi="Arial" w:cs="Arial"/>
                      <w:sz w:val="20"/>
                      <w:szCs w:val="20"/>
                    </w:rPr>
                  </w:pPr>
                </w:p>
              </w:tc>
              <w:tc>
                <w:tcPr>
                  <w:tcW w:w="2453" w:type="dxa"/>
                </w:tcPr>
                <w:p w14:paraId="19643298" w14:textId="77777777" w:rsidR="00035AA8" w:rsidRPr="00115DDA" w:rsidRDefault="00035AA8" w:rsidP="00035AA8">
                  <w:pPr>
                    <w:pBdr>
                      <w:top w:val="nil"/>
                      <w:left w:val="nil"/>
                      <w:bottom w:val="nil"/>
                      <w:right w:val="nil"/>
                      <w:between w:val="nil"/>
                    </w:pBdr>
                    <w:spacing w:before="80" w:after="80" w:line="312" w:lineRule="auto"/>
                    <w:jc w:val="both"/>
                    <w:rPr>
                      <w:rFonts w:ascii="Arial" w:eastAsia="Arial" w:hAnsi="Arial" w:cs="Arial"/>
                      <w:sz w:val="20"/>
                      <w:szCs w:val="20"/>
                    </w:rPr>
                  </w:pPr>
                </w:p>
              </w:tc>
            </w:tr>
            <w:tr w:rsidR="002E6D48" w:rsidRPr="00115DDA" w14:paraId="3811C141" w14:textId="77777777" w:rsidTr="00595B37">
              <w:tc>
                <w:tcPr>
                  <w:tcW w:w="2452" w:type="dxa"/>
                </w:tcPr>
                <w:p w14:paraId="75BB644B" w14:textId="77777777" w:rsidR="00035AA8" w:rsidRPr="00115DDA" w:rsidRDefault="00035AA8" w:rsidP="00035AA8">
                  <w:pPr>
                    <w:pBdr>
                      <w:top w:val="nil"/>
                      <w:left w:val="nil"/>
                      <w:bottom w:val="nil"/>
                      <w:right w:val="nil"/>
                      <w:between w:val="nil"/>
                    </w:pBdr>
                    <w:spacing w:before="80" w:after="80" w:line="312" w:lineRule="auto"/>
                    <w:jc w:val="both"/>
                    <w:rPr>
                      <w:rFonts w:ascii="Arial" w:eastAsia="Arial" w:hAnsi="Arial" w:cs="Arial"/>
                      <w:sz w:val="20"/>
                      <w:szCs w:val="20"/>
                    </w:rPr>
                  </w:pPr>
                </w:p>
              </w:tc>
              <w:tc>
                <w:tcPr>
                  <w:tcW w:w="2452" w:type="dxa"/>
                </w:tcPr>
                <w:p w14:paraId="310387B5" w14:textId="77777777" w:rsidR="00035AA8" w:rsidRPr="00115DDA" w:rsidRDefault="00035AA8" w:rsidP="00035AA8">
                  <w:pPr>
                    <w:pBdr>
                      <w:top w:val="nil"/>
                      <w:left w:val="nil"/>
                      <w:bottom w:val="nil"/>
                      <w:right w:val="nil"/>
                      <w:between w:val="nil"/>
                    </w:pBdr>
                    <w:spacing w:before="80" w:after="80" w:line="312" w:lineRule="auto"/>
                    <w:jc w:val="both"/>
                    <w:rPr>
                      <w:rFonts w:ascii="Arial" w:eastAsia="Arial" w:hAnsi="Arial" w:cs="Arial"/>
                      <w:sz w:val="20"/>
                      <w:szCs w:val="20"/>
                    </w:rPr>
                  </w:pPr>
                </w:p>
              </w:tc>
              <w:tc>
                <w:tcPr>
                  <w:tcW w:w="2453" w:type="dxa"/>
                </w:tcPr>
                <w:p w14:paraId="6F7A0B55" w14:textId="77777777" w:rsidR="00035AA8" w:rsidRPr="00115DDA" w:rsidRDefault="00035AA8" w:rsidP="00035AA8">
                  <w:pPr>
                    <w:pBdr>
                      <w:top w:val="nil"/>
                      <w:left w:val="nil"/>
                      <w:bottom w:val="nil"/>
                      <w:right w:val="nil"/>
                      <w:between w:val="nil"/>
                    </w:pBdr>
                    <w:spacing w:before="80" w:after="80" w:line="312" w:lineRule="auto"/>
                    <w:jc w:val="both"/>
                    <w:rPr>
                      <w:rFonts w:ascii="Arial" w:eastAsia="Arial" w:hAnsi="Arial" w:cs="Arial"/>
                      <w:sz w:val="20"/>
                      <w:szCs w:val="20"/>
                    </w:rPr>
                  </w:pPr>
                </w:p>
              </w:tc>
            </w:tr>
            <w:tr w:rsidR="002E6D48" w:rsidRPr="00115DDA" w14:paraId="57F55B4D" w14:textId="77777777" w:rsidTr="00595B37">
              <w:tc>
                <w:tcPr>
                  <w:tcW w:w="2452" w:type="dxa"/>
                </w:tcPr>
                <w:p w14:paraId="1C2F9A61" w14:textId="77777777" w:rsidR="00035AA8" w:rsidRPr="00115DDA" w:rsidRDefault="00035AA8" w:rsidP="00035AA8">
                  <w:pPr>
                    <w:pBdr>
                      <w:top w:val="nil"/>
                      <w:left w:val="nil"/>
                      <w:bottom w:val="nil"/>
                      <w:right w:val="nil"/>
                      <w:between w:val="nil"/>
                    </w:pBdr>
                    <w:spacing w:before="80" w:after="80" w:line="312" w:lineRule="auto"/>
                    <w:jc w:val="both"/>
                    <w:rPr>
                      <w:rFonts w:ascii="Arial" w:eastAsia="Arial" w:hAnsi="Arial" w:cs="Arial"/>
                      <w:b/>
                      <w:sz w:val="20"/>
                      <w:szCs w:val="20"/>
                    </w:rPr>
                  </w:pPr>
                  <w:r w:rsidRPr="00115DDA">
                    <w:rPr>
                      <w:rFonts w:ascii="Arial" w:eastAsia="Arial" w:hAnsi="Arial" w:cs="Arial"/>
                      <w:b/>
                      <w:sz w:val="20"/>
                      <w:szCs w:val="20"/>
                    </w:rPr>
                    <w:t>In total</w:t>
                  </w:r>
                </w:p>
              </w:tc>
              <w:tc>
                <w:tcPr>
                  <w:tcW w:w="2452" w:type="dxa"/>
                </w:tcPr>
                <w:p w14:paraId="694244D1" w14:textId="0B007595" w:rsidR="00035AA8" w:rsidRPr="00115DDA" w:rsidRDefault="00035AA8" w:rsidP="00035AA8">
                  <w:pPr>
                    <w:pBdr>
                      <w:top w:val="nil"/>
                      <w:left w:val="nil"/>
                      <w:bottom w:val="nil"/>
                      <w:right w:val="nil"/>
                      <w:between w:val="nil"/>
                    </w:pBdr>
                    <w:spacing w:before="80" w:after="80" w:line="312" w:lineRule="auto"/>
                    <w:jc w:val="both"/>
                    <w:rPr>
                      <w:rFonts w:ascii="Arial" w:eastAsia="Arial" w:hAnsi="Arial" w:cs="Arial"/>
                      <w:b/>
                      <w:sz w:val="20"/>
                      <w:szCs w:val="20"/>
                    </w:rPr>
                  </w:pPr>
                </w:p>
              </w:tc>
              <w:tc>
                <w:tcPr>
                  <w:tcW w:w="2453" w:type="dxa"/>
                </w:tcPr>
                <w:p w14:paraId="2E56EE01" w14:textId="77777777" w:rsidR="00035AA8" w:rsidRPr="00115DDA" w:rsidRDefault="00035AA8" w:rsidP="00035AA8">
                  <w:pPr>
                    <w:pBdr>
                      <w:top w:val="nil"/>
                      <w:left w:val="nil"/>
                      <w:bottom w:val="nil"/>
                      <w:right w:val="nil"/>
                      <w:between w:val="nil"/>
                    </w:pBdr>
                    <w:spacing w:before="80" w:after="80" w:line="312" w:lineRule="auto"/>
                    <w:jc w:val="both"/>
                    <w:rPr>
                      <w:rFonts w:ascii="Arial" w:eastAsia="Arial" w:hAnsi="Arial" w:cs="Arial"/>
                      <w:b/>
                      <w:sz w:val="20"/>
                      <w:szCs w:val="20"/>
                    </w:rPr>
                  </w:pPr>
                  <w:r w:rsidRPr="00115DDA">
                    <w:rPr>
                      <w:rFonts w:ascii="Arial" w:eastAsia="Arial" w:hAnsi="Arial" w:cs="Arial"/>
                      <w:b/>
                      <w:sz w:val="20"/>
                      <w:szCs w:val="20"/>
                    </w:rPr>
                    <w:t>100.00 %</w:t>
                  </w:r>
                </w:p>
              </w:tc>
            </w:tr>
          </w:tbl>
          <w:p w14:paraId="337050D4" w14:textId="189E5B1E" w:rsidR="00035AA8" w:rsidRPr="00115DDA" w:rsidRDefault="00035AA8">
            <w:pPr>
              <w:pBdr>
                <w:top w:val="nil"/>
                <w:left w:val="nil"/>
                <w:bottom w:val="nil"/>
                <w:right w:val="nil"/>
                <w:between w:val="nil"/>
              </w:pBdr>
              <w:spacing w:before="80" w:after="80"/>
              <w:jc w:val="both"/>
              <w:rPr>
                <w:sz w:val="20"/>
                <w:szCs w:val="20"/>
              </w:rPr>
            </w:pPr>
            <w:r w:rsidRPr="00115DDA">
              <w:rPr>
                <w:sz w:val="20"/>
                <w:szCs w:val="20"/>
              </w:rPr>
              <w:t xml:space="preserve">[All Founders </w:t>
            </w:r>
            <w:r w:rsidR="007E0930" w:rsidRPr="00115DDA">
              <w:rPr>
                <w:sz w:val="20"/>
                <w:szCs w:val="20"/>
              </w:rPr>
              <w:t xml:space="preserve">are currently and will work in the future fulltime </w:t>
            </w:r>
            <w:r w:rsidRPr="00115DDA">
              <w:rPr>
                <w:sz w:val="20"/>
                <w:szCs w:val="20"/>
              </w:rPr>
              <w:t xml:space="preserve">for the </w:t>
            </w:r>
            <w:r w:rsidR="00963432" w:rsidRPr="00115DDA">
              <w:rPr>
                <w:sz w:val="20"/>
                <w:szCs w:val="20"/>
              </w:rPr>
              <w:t>Company</w:t>
            </w:r>
            <w:r w:rsidRPr="00115DDA">
              <w:rPr>
                <w:sz w:val="20"/>
                <w:szCs w:val="20"/>
              </w:rPr>
              <w:t>.]</w:t>
            </w:r>
          </w:p>
        </w:tc>
      </w:tr>
      <w:tr w:rsidR="002E6D48" w:rsidRPr="002E6D48" w14:paraId="21D3237B" w14:textId="77777777">
        <w:tc>
          <w:tcPr>
            <w:tcW w:w="2628" w:type="dxa"/>
          </w:tcPr>
          <w:p w14:paraId="007EEA5F" w14:textId="167268E8" w:rsidR="0020107D" w:rsidRPr="002E6D48" w:rsidRDefault="00A94ECB">
            <w:pPr>
              <w:pBdr>
                <w:top w:val="nil"/>
                <w:left w:val="nil"/>
                <w:bottom w:val="nil"/>
                <w:right w:val="nil"/>
                <w:between w:val="nil"/>
              </w:pBdr>
              <w:spacing w:before="80" w:after="80"/>
              <w:rPr>
                <w:b/>
                <w:sz w:val="20"/>
                <w:szCs w:val="20"/>
              </w:rPr>
            </w:pPr>
            <w:r w:rsidRPr="002E6D48">
              <w:rPr>
                <w:b/>
                <w:sz w:val="20"/>
                <w:szCs w:val="20"/>
              </w:rPr>
              <w:t xml:space="preserve">Company </w:t>
            </w:r>
          </w:p>
        </w:tc>
        <w:tc>
          <w:tcPr>
            <w:tcW w:w="7642" w:type="dxa"/>
          </w:tcPr>
          <w:p w14:paraId="796B3B69" w14:textId="208A0EB4" w:rsidR="0020107D" w:rsidRPr="00115DDA" w:rsidRDefault="00035AA8">
            <w:pPr>
              <w:pBdr>
                <w:top w:val="nil"/>
                <w:left w:val="nil"/>
                <w:bottom w:val="nil"/>
                <w:right w:val="nil"/>
                <w:between w:val="nil"/>
              </w:pBdr>
              <w:spacing w:before="80" w:after="80"/>
              <w:jc w:val="both"/>
              <w:rPr>
                <w:sz w:val="20"/>
                <w:szCs w:val="20"/>
              </w:rPr>
            </w:pPr>
            <w:r w:rsidRPr="00115DDA">
              <w:rPr>
                <w:sz w:val="20"/>
                <w:szCs w:val="20"/>
              </w:rPr>
              <w:t xml:space="preserve">The </w:t>
            </w:r>
            <w:r w:rsidR="00963432" w:rsidRPr="00115DDA">
              <w:rPr>
                <w:sz w:val="20"/>
                <w:szCs w:val="20"/>
              </w:rPr>
              <w:t>Company</w:t>
            </w:r>
            <w:r w:rsidRPr="00115DDA">
              <w:rPr>
                <w:sz w:val="20"/>
                <w:szCs w:val="20"/>
              </w:rPr>
              <w:t xml:space="preserve"> </w:t>
            </w:r>
            <w:r w:rsidR="007E0930" w:rsidRPr="00115DDA">
              <w:rPr>
                <w:sz w:val="20"/>
                <w:szCs w:val="20"/>
              </w:rPr>
              <w:t xml:space="preserve">was </w:t>
            </w:r>
            <w:r w:rsidRPr="00115DDA">
              <w:rPr>
                <w:sz w:val="20"/>
                <w:szCs w:val="20"/>
              </w:rPr>
              <w:t>founded as a [details regarding legal form] in [city, country]</w:t>
            </w:r>
            <w:r w:rsidR="00091595" w:rsidRPr="00115DDA">
              <w:rPr>
                <w:sz w:val="20"/>
                <w:szCs w:val="20"/>
              </w:rPr>
              <w:t xml:space="preserve"> (in the following</w:t>
            </w:r>
            <w:r w:rsidR="00EF3762" w:rsidRPr="00115DDA">
              <w:rPr>
                <w:sz w:val="20"/>
                <w:szCs w:val="20"/>
              </w:rPr>
              <w:t xml:space="preserve"> also</w:t>
            </w:r>
            <w:r w:rsidR="00091595" w:rsidRPr="00115DDA">
              <w:rPr>
                <w:sz w:val="20"/>
                <w:szCs w:val="20"/>
              </w:rPr>
              <w:t xml:space="preserve"> the </w:t>
            </w:r>
            <w:r w:rsidR="00091595" w:rsidRPr="00115DDA">
              <w:rPr>
                <w:b/>
                <w:sz w:val="20"/>
                <w:szCs w:val="20"/>
              </w:rPr>
              <w:t>“Company”</w:t>
            </w:r>
            <w:r w:rsidR="00091595" w:rsidRPr="00115DDA">
              <w:rPr>
                <w:sz w:val="20"/>
                <w:szCs w:val="20"/>
              </w:rPr>
              <w:t>)</w:t>
            </w:r>
            <w:r w:rsidRPr="00115DDA">
              <w:rPr>
                <w:sz w:val="20"/>
                <w:szCs w:val="20"/>
              </w:rPr>
              <w:t xml:space="preserve">. </w:t>
            </w:r>
          </w:p>
        </w:tc>
      </w:tr>
      <w:tr w:rsidR="002E6D48" w:rsidRPr="002E6D48" w14:paraId="6F403B6A" w14:textId="77777777">
        <w:tc>
          <w:tcPr>
            <w:tcW w:w="2628" w:type="dxa"/>
          </w:tcPr>
          <w:p w14:paraId="726BCC04" w14:textId="6AB24FD0" w:rsidR="0020107D" w:rsidRPr="002E6D48" w:rsidRDefault="00BE2469">
            <w:pPr>
              <w:pBdr>
                <w:top w:val="nil"/>
                <w:left w:val="nil"/>
                <w:bottom w:val="nil"/>
                <w:right w:val="nil"/>
                <w:between w:val="nil"/>
              </w:pBdr>
              <w:spacing w:before="80" w:after="80"/>
              <w:rPr>
                <w:b/>
                <w:sz w:val="20"/>
                <w:szCs w:val="20"/>
              </w:rPr>
            </w:pPr>
            <w:r>
              <w:rPr>
                <w:b/>
                <w:sz w:val="20"/>
                <w:szCs w:val="20"/>
              </w:rPr>
              <w:t>EIT Digital</w:t>
            </w:r>
            <w:r w:rsidR="00A94ECB" w:rsidRPr="002E6D48">
              <w:rPr>
                <w:b/>
                <w:sz w:val="20"/>
                <w:szCs w:val="20"/>
              </w:rPr>
              <w:t xml:space="preserve">´s Participation </w:t>
            </w:r>
          </w:p>
        </w:tc>
        <w:tc>
          <w:tcPr>
            <w:tcW w:w="7642" w:type="dxa"/>
          </w:tcPr>
          <w:p w14:paraId="29B3BC01" w14:textId="13B7DB76" w:rsidR="0020107D" w:rsidRPr="00963432" w:rsidRDefault="00BE2469" w:rsidP="008F3B80">
            <w:pPr>
              <w:spacing w:before="80" w:after="80"/>
              <w:jc w:val="both"/>
              <w:rPr>
                <w:sz w:val="20"/>
                <w:szCs w:val="20"/>
              </w:rPr>
            </w:pPr>
            <w:r w:rsidRPr="00963432">
              <w:rPr>
                <w:sz w:val="20"/>
                <w:szCs w:val="20"/>
              </w:rPr>
              <w:t>EIT Digital</w:t>
            </w:r>
            <w:r w:rsidR="00A94ECB" w:rsidRPr="00963432">
              <w:rPr>
                <w:sz w:val="20"/>
                <w:szCs w:val="20"/>
              </w:rPr>
              <w:t xml:space="preserve"> is committed to support the Company and is willing to grant funds in the total</w:t>
            </w:r>
            <w:r w:rsidRPr="00963432">
              <w:rPr>
                <w:sz w:val="20"/>
                <w:szCs w:val="20"/>
              </w:rPr>
              <w:t xml:space="preserve"> maximum</w:t>
            </w:r>
            <w:r w:rsidR="00A94ECB" w:rsidRPr="00963432">
              <w:rPr>
                <w:sz w:val="20"/>
                <w:szCs w:val="20"/>
              </w:rPr>
              <w:t xml:space="preserve"> amount of up to </w:t>
            </w:r>
            <w:r w:rsidR="00860755" w:rsidRPr="00963432">
              <w:rPr>
                <w:sz w:val="20"/>
                <w:szCs w:val="20"/>
              </w:rPr>
              <w:t>[</w:t>
            </w:r>
            <w:r w:rsidR="00A94ECB" w:rsidRPr="00963432">
              <w:rPr>
                <w:sz w:val="20"/>
                <w:szCs w:val="20"/>
              </w:rPr>
              <w:t xml:space="preserve">EUR </w:t>
            </w:r>
            <w:r w:rsidR="00963432" w:rsidRPr="00963432">
              <w:rPr>
                <w:sz w:val="20"/>
                <w:szCs w:val="20"/>
              </w:rPr>
              <w:t>xxx</w:t>
            </w:r>
            <w:r w:rsidR="00860755" w:rsidRPr="00963432">
              <w:rPr>
                <w:sz w:val="20"/>
                <w:szCs w:val="20"/>
              </w:rPr>
              <w:t>]</w:t>
            </w:r>
            <w:r w:rsidR="00442288" w:rsidRPr="00963432">
              <w:rPr>
                <w:sz w:val="20"/>
                <w:szCs w:val="20"/>
              </w:rPr>
              <w:t xml:space="preserve"> (the actual amount of the grant</w:t>
            </w:r>
            <w:r w:rsidR="00B84DB8" w:rsidRPr="00963432">
              <w:rPr>
                <w:sz w:val="20"/>
                <w:szCs w:val="20"/>
              </w:rPr>
              <w:t>ed</w:t>
            </w:r>
            <w:r w:rsidR="00442288" w:rsidRPr="00963432">
              <w:rPr>
                <w:sz w:val="20"/>
                <w:szCs w:val="20"/>
              </w:rPr>
              <w:t xml:space="preserve"> funds, the “</w:t>
            </w:r>
            <w:r w:rsidRPr="00963432">
              <w:rPr>
                <w:b/>
                <w:sz w:val="20"/>
                <w:szCs w:val="20"/>
              </w:rPr>
              <w:t xml:space="preserve"> EIT Digital</w:t>
            </w:r>
            <w:r w:rsidR="00442288" w:rsidRPr="00963432">
              <w:rPr>
                <w:b/>
                <w:sz w:val="20"/>
                <w:szCs w:val="20"/>
              </w:rPr>
              <w:t xml:space="preserve"> </w:t>
            </w:r>
            <w:r w:rsidR="00E520BD" w:rsidRPr="00963432">
              <w:rPr>
                <w:b/>
                <w:sz w:val="20"/>
                <w:szCs w:val="20"/>
              </w:rPr>
              <w:t>Grant</w:t>
            </w:r>
            <w:r w:rsidR="00442288" w:rsidRPr="00963432">
              <w:rPr>
                <w:sz w:val="20"/>
                <w:szCs w:val="20"/>
              </w:rPr>
              <w:t>”)</w:t>
            </w:r>
            <w:r w:rsidR="00A94ECB" w:rsidRPr="00963432">
              <w:rPr>
                <w:sz w:val="20"/>
                <w:szCs w:val="20"/>
              </w:rPr>
              <w:t xml:space="preserve">. </w:t>
            </w:r>
            <w:r w:rsidR="00E520BD" w:rsidRPr="00963432">
              <w:rPr>
                <w:sz w:val="20"/>
                <w:szCs w:val="20"/>
              </w:rPr>
              <w:t xml:space="preserve">As a consideration for the </w:t>
            </w:r>
            <w:r w:rsidR="00963432">
              <w:rPr>
                <w:sz w:val="20"/>
                <w:szCs w:val="20"/>
              </w:rPr>
              <w:t xml:space="preserve">EIT Digital </w:t>
            </w:r>
            <w:r w:rsidR="00E520BD" w:rsidRPr="00963432">
              <w:rPr>
                <w:sz w:val="20"/>
                <w:szCs w:val="20"/>
              </w:rPr>
              <w:t xml:space="preserve">Grant, </w:t>
            </w:r>
            <w:r w:rsidRPr="00963432">
              <w:rPr>
                <w:sz w:val="20"/>
                <w:szCs w:val="20"/>
              </w:rPr>
              <w:t>EIT Digital</w:t>
            </w:r>
            <w:r w:rsidR="00A94ECB" w:rsidRPr="00963432">
              <w:rPr>
                <w:sz w:val="20"/>
                <w:szCs w:val="20"/>
              </w:rPr>
              <w:t xml:space="preserve"> shall participate via </w:t>
            </w:r>
            <w:r w:rsidR="008919D1" w:rsidRPr="00963432">
              <w:rPr>
                <w:sz w:val="20"/>
                <w:szCs w:val="20"/>
              </w:rPr>
              <w:t>O</w:t>
            </w:r>
            <w:r w:rsidR="002E5536" w:rsidRPr="00963432">
              <w:rPr>
                <w:sz w:val="20"/>
                <w:szCs w:val="20"/>
              </w:rPr>
              <w:t xml:space="preserve">ptions </w:t>
            </w:r>
            <w:r w:rsidR="00A94ECB" w:rsidRPr="00963432">
              <w:rPr>
                <w:sz w:val="20"/>
                <w:szCs w:val="20"/>
              </w:rPr>
              <w:t xml:space="preserve">in the Company. </w:t>
            </w:r>
            <w:r w:rsidR="009F4447" w:rsidRPr="00963432">
              <w:rPr>
                <w:sz w:val="20"/>
                <w:szCs w:val="20"/>
              </w:rPr>
              <w:t xml:space="preserve">Through the </w:t>
            </w:r>
            <w:r w:rsidR="008919D1" w:rsidRPr="00963432">
              <w:rPr>
                <w:sz w:val="20"/>
                <w:szCs w:val="20"/>
              </w:rPr>
              <w:t>O</w:t>
            </w:r>
            <w:r w:rsidR="009F4447" w:rsidRPr="00963432">
              <w:rPr>
                <w:sz w:val="20"/>
                <w:szCs w:val="20"/>
              </w:rPr>
              <w:t xml:space="preserve">ptions </w:t>
            </w:r>
            <w:r w:rsidRPr="00963432">
              <w:rPr>
                <w:sz w:val="20"/>
                <w:szCs w:val="20"/>
              </w:rPr>
              <w:t>EIT Digital</w:t>
            </w:r>
            <w:r w:rsidR="009F4447" w:rsidRPr="00963432">
              <w:rPr>
                <w:sz w:val="20"/>
                <w:szCs w:val="20"/>
              </w:rPr>
              <w:t xml:space="preserve"> shall get the opportunity to partake in the future increase in the Company’s enterprise value. Each </w:t>
            </w:r>
            <w:r w:rsidR="008919D1" w:rsidRPr="00963432">
              <w:rPr>
                <w:sz w:val="20"/>
                <w:szCs w:val="20"/>
              </w:rPr>
              <w:t>O</w:t>
            </w:r>
            <w:r w:rsidR="009F4447" w:rsidRPr="00963432">
              <w:rPr>
                <w:sz w:val="20"/>
                <w:szCs w:val="20"/>
              </w:rPr>
              <w:t>ption shall have a nominal amount equivalent to one equity-share (e.g.: If one share has a par value of EUR 1.00, each Option has as well a par value of EUR</w:t>
            </w:r>
            <w:r w:rsidR="008919D1" w:rsidRPr="00963432">
              <w:rPr>
                <w:sz w:val="20"/>
                <w:szCs w:val="20"/>
              </w:rPr>
              <w:t> </w:t>
            </w:r>
            <w:r w:rsidR="009F4447" w:rsidRPr="00963432">
              <w:rPr>
                <w:sz w:val="20"/>
                <w:szCs w:val="20"/>
              </w:rPr>
              <w:t>1.00).</w:t>
            </w:r>
            <w:r w:rsidR="004325A3" w:rsidRPr="00963432">
              <w:rPr>
                <w:sz w:val="20"/>
                <w:szCs w:val="20"/>
                <w:vertAlign w:val="superscript"/>
              </w:rPr>
              <w:footnoteReference w:id="1"/>
            </w:r>
            <w:r w:rsidR="009F4447" w:rsidRPr="00963432">
              <w:rPr>
                <w:sz w:val="20"/>
                <w:szCs w:val="20"/>
              </w:rPr>
              <w:t xml:space="preserve"> Thus, in the </w:t>
            </w:r>
            <w:r w:rsidR="00DA7AE3">
              <w:rPr>
                <w:sz w:val="20"/>
                <w:szCs w:val="20"/>
              </w:rPr>
              <w:t>Financial</w:t>
            </w:r>
            <w:r w:rsidR="008919D1" w:rsidRPr="00963432">
              <w:rPr>
                <w:sz w:val="20"/>
                <w:szCs w:val="20"/>
              </w:rPr>
              <w:t xml:space="preserve"> </w:t>
            </w:r>
            <w:r w:rsidR="009F4447" w:rsidRPr="00963432">
              <w:rPr>
                <w:sz w:val="20"/>
                <w:szCs w:val="20"/>
              </w:rPr>
              <w:t xml:space="preserve">event, each </w:t>
            </w:r>
            <w:r w:rsidR="008919D1" w:rsidRPr="00963432">
              <w:rPr>
                <w:sz w:val="20"/>
                <w:szCs w:val="20"/>
              </w:rPr>
              <w:t>O</w:t>
            </w:r>
            <w:r w:rsidR="009F4447" w:rsidRPr="00963432">
              <w:rPr>
                <w:sz w:val="20"/>
                <w:szCs w:val="20"/>
              </w:rPr>
              <w:t>ption shall be converted 1:1 into one equity-share</w:t>
            </w:r>
            <w:r w:rsidR="00BD50BC" w:rsidRPr="00963432">
              <w:rPr>
                <w:sz w:val="20"/>
                <w:szCs w:val="20"/>
              </w:rPr>
              <w:t>.</w:t>
            </w:r>
            <w:r w:rsidR="006364F2" w:rsidRPr="00963432">
              <w:t xml:space="preserve"> </w:t>
            </w:r>
          </w:p>
        </w:tc>
      </w:tr>
      <w:tr w:rsidR="009F4447" w:rsidRPr="002E6D48" w14:paraId="03176399" w14:textId="77777777">
        <w:tc>
          <w:tcPr>
            <w:tcW w:w="2628" w:type="dxa"/>
          </w:tcPr>
          <w:p w14:paraId="60F164A6" w14:textId="6854CB29" w:rsidR="009F4447" w:rsidRPr="002E6D48" w:rsidRDefault="009F4447">
            <w:pPr>
              <w:pBdr>
                <w:top w:val="nil"/>
                <w:left w:val="nil"/>
                <w:bottom w:val="nil"/>
                <w:right w:val="nil"/>
                <w:between w:val="nil"/>
              </w:pBdr>
              <w:spacing w:before="80" w:after="80"/>
              <w:rPr>
                <w:b/>
                <w:sz w:val="20"/>
                <w:szCs w:val="20"/>
              </w:rPr>
            </w:pPr>
            <w:r>
              <w:rPr>
                <w:b/>
                <w:sz w:val="20"/>
                <w:szCs w:val="20"/>
              </w:rPr>
              <w:t xml:space="preserve">Valuation </w:t>
            </w:r>
          </w:p>
        </w:tc>
        <w:tc>
          <w:tcPr>
            <w:tcW w:w="7642" w:type="dxa"/>
          </w:tcPr>
          <w:p w14:paraId="2D4D265B" w14:textId="0F6AF28C" w:rsidR="009F4447" w:rsidRPr="00115DDA" w:rsidRDefault="009F4447">
            <w:pPr>
              <w:spacing w:before="80" w:after="80"/>
              <w:jc w:val="both"/>
              <w:rPr>
                <w:sz w:val="20"/>
                <w:szCs w:val="20"/>
              </w:rPr>
            </w:pPr>
            <w:r w:rsidRPr="00115DDA">
              <w:rPr>
                <w:sz w:val="20"/>
                <w:szCs w:val="20"/>
              </w:rPr>
              <w:t xml:space="preserve">The price per </w:t>
            </w:r>
            <w:r w:rsidR="008919D1" w:rsidRPr="00115DDA">
              <w:rPr>
                <w:sz w:val="20"/>
                <w:szCs w:val="20"/>
              </w:rPr>
              <w:t>Option</w:t>
            </w:r>
            <w:r w:rsidRPr="00115DDA">
              <w:rPr>
                <w:sz w:val="20"/>
                <w:szCs w:val="20"/>
              </w:rPr>
              <w:t xml:space="preserve"> corresponds to the pre-money valuation (the “</w:t>
            </w:r>
            <w:r w:rsidRPr="00115DDA">
              <w:rPr>
                <w:b/>
                <w:sz w:val="20"/>
                <w:szCs w:val="20"/>
              </w:rPr>
              <w:t>Option</w:t>
            </w:r>
            <w:r w:rsidRPr="00115DDA">
              <w:rPr>
                <w:sz w:val="20"/>
                <w:szCs w:val="20"/>
              </w:rPr>
              <w:t xml:space="preserve"> </w:t>
            </w:r>
            <w:r w:rsidRPr="00115DDA">
              <w:rPr>
                <w:b/>
                <w:sz w:val="20"/>
                <w:szCs w:val="20"/>
              </w:rPr>
              <w:t>Price</w:t>
            </w:r>
            <w:r w:rsidRPr="00115DDA">
              <w:rPr>
                <w:sz w:val="20"/>
                <w:szCs w:val="20"/>
              </w:rPr>
              <w:t xml:space="preserve">”). The amount of subscribed </w:t>
            </w:r>
            <w:r w:rsidR="008919D1" w:rsidRPr="00115DDA">
              <w:rPr>
                <w:sz w:val="20"/>
                <w:szCs w:val="20"/>
              </w:rPr>
              <w:t>Option</w:t>
            </w:r>
            <w:r w:rsidRPr="00115DDA">
              <w:rPr>
                <w:sz w:val="20"/>
                <w:szCs w:val="20"/>
              </w:rPr>
              <w:t xml:space="preserve">s depends on the </w:t>
            </w:r>
            <w:r w:rsidR="00963432" w:rsidRPr="00115DDA">
              <w:rPr>
                <w:sz w:val="20"/>
                <w:szCs w:val="20"/>
              </w:rPr>
              <w:t xml:space="preserve">EIT Digital </w:t>
            </w:r>
            <w:r w:rsidR="00E520BD" w:rsidRPr="00115DDA">
              <w:rPr>
                <w:sz w:val="20"/>
                <w:szCs w:val="20"/>
              </w:rPr>
              <w:t>Grant</w:t>
            </w:r>
            <w:r w:rsidR="00154B6C" w:rsidRPr="00115DDA">
              <w:rPr>
                <w:sz w:val="20"/>
                <w:szCs w:val="20"/>
              </w:rPr>
              <w:t xml:space="preserve"> </w:t>
            </w:r>
            <w:r w:rsidRPr="00115DDA">
              <w:rPr>
                <w:sz w:val="20"/>
                <w:szCs w:val="20"/>
              </w:rPr>
              <w:t xml:space="preserve">actually </w:t>
            </w:r>
            <w:r w:rsidR="00963432" w:rsidRPr="00115DDA">
              <w:rPr>
                <w:sz w:val="20"/>
                <w:szCs w:val="20"/>
              </w:rPr>
              <w:t>allocated</w:t>
            </w:r>
            <w:r w:rsidR="00154B6C" w:rsidRPr="00115DDA">
              <w:rPr>
                <w:sz w:val="20"/>
                <w:szCs w:val="20"/>
              </w:rPr>
              <w:t xml:space="preserve"> by </w:t>
            </w:r>
            <w:r w:rsidR="00BE2469" w:rsidRPr="00115DDA">
              <w:rPr>
                <w:sz w:val="20"/>
                <w:szCs w:val="20"/>
              </w:rPr>
              <w:t>EIT Digital</w:t>
            </w:r>
            <w:r w:rsidR="00154B6C" w:rsidRPr="00115DDA">
              <w:rPr>
                <w:sz w:val="20"/>
                <w:szCs w:val="20"/>
              </w:rPr>
              <w:t xml:space="preserve"> to </w:t>
            </w:r>
            <w:r w:rsidRPr="00115DDA">
              <w:rPr>
                <w:sz w:val="20"/>
                <w:szCs w:val="20"/>
              </w:rPr>
              <w:t xml:space="preserve">the </w:t>
            </w:r>
            <w:r w:rsidR="00963432" w:rsidRPr="00115DDA">
              <w:rPr>
                <w:sz w:val="20"/>
                <w:szCs w:val="20"/>
              </w:rPr>
              <w:t>Company</w:t>
            </w:r>
            <w:r w:rsidRPr="00115DDA">
              <w:rPr>
                <w:sz w:val="20"/>
                <w:szCs w:val="20"/>
              </w:rPr>
              <w:t>.</w:t>
            </w:r>
          </w:p>
          <w:p w14:paraId="1B4C4F54" w14:textId="598C0F93" w:rsidR="000665E7" w:rsidRPr="00115DDA" w:rsidRDefault="000665E7">
            <w:pPr>
              <w:spacing w:before="80" w:after="80"/>
              <w:jc w:val="both"/>
              <w:rPr>
                <w:sz w:val="20"/>
                <w:szCs w:val="20"/>
              </w:rPr>
            </w:pPr>
          </w:p>
          <w:p w14:paraId="774AE740" w14:textId="77777777" w:rsidR="000665E7" w:rsidRPr="00115DDA" w:rsidRDefault="000665E7" w:rsidP="000665E7">
            <w:pPr>
              <w:pStyle w:val="LALevel4"/>
              <w:numPr>
                <w:ilvl w:val="0"/>
                <w:numId w:val="0"/>
              </w:numPr>
              <w:rPr>
                <w:lang w:val="en-GB"/>
              </w:rPr>
            </w:pPr>
          </w:p>
          <w:tbl>
            <w:tblPr>
              <w:tblStyle w:val="TableGrid"/>
              <w:tblW w:w="8353" w:type="dxa"/>
              <w:tblInd w:w="0" w:type="dxa"/>
              <w:tblLayout w:type="fixed"/>
              <w:tblLook w:val="04A0" w:firstRow="1" w:lastRow="0" w:firstColumn="1" w:lastColumn="0" w:noHBand="0" w:noVBand="1"/>
            </w:tblPr>
            <w:tblGrid>
              <w:gridCol w:w="2814"/>
              <w:gridCol w:w="2755"/>
              <w:gridCol w:w="2784"/>
            </w:tblGrid>
            <w:tr w:rsidR="000665E7" w:rsidRPr="00115DDA" w14:paraId="14AA83C7" w14:textId="77777777" w:rsidTr="000665E7">
              <w:tc>
                <w:tcPr>
                  <w:tcW w:w="2814" w:type="dxa"/>
                  <w:tcBorders>
                    <w:top w:val="single" w:sz="4" w:space="0" w:color="auto"/>
                    <w:left w:val="single" w:sz="4" w:space="0" w:color="auto"/>
                    <w:bottom w:val="single" w:sz="4" w:space="0" w:color="auto"/>
                    <w:right w:val="single" w:sz="4" w:space="0" w:color="auto"/>
                  </w:tcBorders>
                  <w:shd w:val="pct15" w:color="auto" w:fill="auto"/>
                  <w:hideMark/>
                </w:tcPr>
                <w:p w14:paraId="0F968B5F" w14:textId="77777777" w:rsidR="000665E7" w:rsidRPr="00115DDA" w:rsidRDefault="000665E7" w:rsidP="000665E7">
                  <w:pPr>
                    <w:pStyle w:val="LALevel3"/>
                    <w:numPr>
                      <w:ilvl w:val="0"/>
                      <w:numId w:val="0"/>
                    </w:numPr>
                    <w:tabs>
                      <w:tab w:val="clear" w:pos="567"/>
                      <w:tab w:val="left" w:pos="708"/>
                    </w:tabs>
                    <w:rPr>
                      <w:b/>
                      <w:bCs/>
                      <w:sz w:val="21"/>
                      <w:szCs w:val="21"/>
                      <w:lang w:val="en-GB"/>
                    </w:rPr>
                  </w:pPr>
                  <w:r w:rsidRPr="00115DDA">
                    <w:rPr>
                      <w:b/>
                      <w:bCs/>
                      <w:sz w:val="21"/>
                      <w:szCs w:val="21"/>
                      <w:lang w:val="en-GB"/>
                    </w:rPr>
                    <w:t xml:space="preserve">Pre-Money Valuation  </w:t>
                  </w:r>
                </w:p>
              </w:tc>
              <w:tc>
                <w:tcPr>
                  <w:tcW w:w="2755" w:type="dxa"/>
                  <w:tcBorders>
                    <w:top w:val="single" w:sz="4" w:space="0" w:color="auto"/>
                    <w:left w:val="single" w:sz="4" w:space="0" w:color="auto"/>
                    <w:bottom w:val="single" w:sz="4" w:space="0" w:color="auto"/>
                    <w:right w:val="single" w:sz="4" w:space="0" w:color="auto"/>
                  </w:tcBorders>
                  <w:shd w:val="pct15" w:color="auto" w:fill="auto"/>
                  <w:hideMark/>
                </w:tcPr>
                <w:p w14:paraId="1D6D7E93" w14:textId="77777777" w:rsidR="000665E7" w:rsidRPr="00115DDA" w:rsidRDefault="000665E7" w:rsidP="000665E7">
                  <w:pPr>
                    <w:pStyle w:val="LALevel3"/>
                    <w:numPr>
                      <w:ilvl w:val="0"/>
                      <w:numId w:val="0"/>
                    </w:numPr>
                    <w:tabs>
                      <w:tab w:val="clear" w:pos="567"/>
                      <w:tab w:val="left" w:pos="708"/>
                    </w:tabs>
                    <w:rPr>
                      <w:b/>
                      <w:bCs/>
                      <w:sz w:val="21"/>
                      <w:szCs w:val="21"/>
                      <w:lang w:val="en-GB"/>
                    </w:rPr>
                  </w:pPr>
                  <w:r w:rsidRPr="00115DDA">
                    <w:rPr>
                      <w:b/>
                      <w:bCs/>
                      <w:sz w:val="21"/>
                      <w:szCs w:val="21"/>
                      <w:lang w:val="en-GB"/>
                    </w:rPr>
                    <w:t xml:space="preserve">Purchase Price per Option </w:t>
                  </w:r>
                </w:p>
              </w:tc>
              <w:tc>
                <w:tcPr>
                  <w:tcW w:w="2784" w:type="dxa"/>
                  <w:tcBorders>
                    <w:top w:val="single" w:sz="4" w:space="0" w:color="auto"/>
                    <w:left w:val="single" w:sz="4" w:space="0" w:color="auto"/>
                    <w:bottom w:val="single" w:sz="4" w:space="0" w:color="auto"/>
                    <w:right w:val="single" w:sz="4" w:space="0" w:color="auto"/>
                  </w:tcBorders>
                  <w:shd w:val="pct15" w:color="auto" w:fill="auto"/>
                  <w:hideMark/>
                </w:tcPr>
                <w:p w14:paraId="0C9D96B0" w14:textId="77777777" w:rsidR="000665E7" w:rsidRPr="00115DDA" w:rsidRDefault="000665E7" w:rsidP="000665E7">
                  <w:pPr>
                    <w:pStyle w:val="LALevel3"/>
                    <w:numPr>
                      <w:ilvl w:val="0"/>
                      <w:numId w:val="0"/>
                    </w:numPr>
                    <w:tabs>
                      <w:tab w:val="clear" w:pos="567"/>
                      <w:tab w:val="left" w:pos="708"/>
                    </w:tabs>
                    <w:rPr>
                      <w:b/>
                      <w:bCs/>
                      <w:sz w:val="21"/>
                      <w:szCs w:val="21"/>
                      <w:lang w:val="en-GB"/>
                    </w:rPr>
                  </w:pPr>
                  <w:r w:rsidRPr="00115DDA">
                    <w:rPr>
                      <w:b/>
                      <w:bCs/>
                      <w:sz w:val="21"/>
                      <w:szCs w:val="21"/>
                      <w:lang w:val="en-GB"/>
                    </w:rPr>
                    <w:t>Number of Options per EUR 100k invested</w:t>
                  </w:r>
                </w:p>
              </w:tc>
            </w:tr>
            <w:tr w:rsidR="000665E7" w:rsidRPr="00115DDA" w14:paraId="3C006EF3" w14:textId="77777777" w:rsidTr="000665E7">
              <w:tc>
                <w:tcPr>
                  <w:tcW w:w="2814" w:type="dxa"/>
                  <w:tcBorders>
                    <w:top w:val="single" w:sz="4" w:space="0" w:color="auto"/>
                    <w:left w:val="single" w:sz="4" w:space="0" w:color="auto"/>
                    <w:bottom w:val="single" w:sz="4" w:space="0" w:color="auto"/>
                    <w:right w:val="single" w:sz="4" w:space="0" w:color="auto"/>
                  </w:tcBorders>
                  <w:hideMark/>
                </w:tcPr>
                <w:p w14:paraId="6C8E38B7" w14:textId="77777777" w:rsidR="000665E7" w:rsidRPr="00115DDA" w:rsidRDefault="000665E7" w:rsidP="000665E7">
                  <w:pPr>
                    <w:pStyle w:val="LALevel3"/>
                    <w:numPr>
                      <w:ilvl w:val="0"/>
                      <w:numId w:val="0"/>
                    </w:numPr>
                    <w:tabs>
                      <w:tab w:val="clear" w:pos="567"/>
                      <w:tab w:val="left" w:pos="708"/>
                    </w:tabs>
                    <w:rPr>
                      <w:sz w:val="21"/>
                      <w:szCs w:val="21"/>
                      <w:lang w:val="en-GB"/>
                    </w:rPr>
                  </w:pPr>
                  <w:r w:rsidRPr="00115DDA">
                    <w:rPr>
                      <w:sz w:val="21"/>
                      <w:szCs w:val="21"/>
                      <w:lang w:val="en-GB"/>
                    </w:rPr>
                    <w:t>EUR [●]</w:t>
                  </w:r>
                </w:p>
              </w:tc>
              <w:tc>
                <w:tcPr>
                  <w:tcW w:w="2755" w:type="dxa"/>
                  <w:tcBorders>
                    <w:top w:val="single" w:sz="4" w:space="0" w:color="auto"/>
                    <w:left w:val="single" w:sz="4" w:space="0" w:color="auto"/>
                    <w:bottom w:val="single" w:sz="4" w:space="0" w:color="auto"/>
                    <w:right w:val="single" w:sz="4" w:space="0" w:color="auto"/>
                  </w:tcBorders>
                  <w:hideMark/>
                </w:tcPr>
                <w:p w14:paraId="2722B300" w14:textId="77777777" w:rsidR="000665E7" w:rsidRPr="00115DDA" w:rsidRDefault="000665E7" w:rsidP="000665E7">
                  <w:pPr>
                    <w:pStyle w:val="LALevel3"/>
                    <w:numPr>
                      <w:ilvl w:val="0"/>
                      <w:numId w:val="0"/>
                    </w:numPr>
                    <w:tabs>
                      <w:tab w:val="clear" w:pos="567"/>
                      <w:tab w:val="left" w:pos="708"/>
                    </w:tabs>
                    <w:rPr>
                      <w:sz w:val="21"/>
                      <w:szCs w:val="21"/>
                      <w:lang w:val="en-GB"/>
                    </w:rPr>
                  </w:pPr>
                  <w:r w:rsidRPr="00115DDA">
                    <w:rPr>
                      <w:sz w:val="21"/>
                      <w:szCs w:val="21"/>
                      <w:lang w:val="en-GB"/>
                    </w:rPr>
                    <w:t>EUR [●]</w:t>
                  </w:r>
                </w:p>
              </w:tc>
              <w:tc>
                <w:tcPr>
                  <w:tcW w:w="2784" w:type="dxa"/>
                  <w:tcBorders>
                    <w:top w:val="single" w:sz="4" w:space="0" w:color="auto"/>
                    <w:left w:val="single" w:sz="4" w:space="0" w:color="auto"/>
                    <w:bottom w:val="single" w:sz="4" w:space="0" w:color="auto"/>
                    <w:right w:val="single" w:sz="4" w:space="0" w:color="auto"/>
                  </w:tcBorders>
                  <w:hideMark/>
                </w:tcPr>
                <w:p w14:paraId="7939DDD7" w14:textId="77777777" w:rsidR="000665E7" w:rsidRPr="00115DDA" w:rsidRDefault="000665E7" w:rsidP="000665E7">
                  <w:pPr>
                    <w:pStyle w:val="LALevel3"/>
                    <w:numPr>
                      <w:ilvl w:val="0"/>
                      <w:numId w:val="0"/>
                    </w:numPr>
                    <w:tabs>
                      <w:tab w:val="clear" w:pos="567"/>
                      <w:tab w:val="left" w:pos="708"/>
                    </w:tabs>
                    <w:ind w:left="686"/>
                    <w:rPr>
                      <w:sz w:val="21"/>
                      <w:szCs w:val="21"/>
                      <w:lang w:val="en-GB"/>
                    </w:rPr>
                  </w:pPr>
                  <w:r w:rsidRPr="00115DDA">
                    <w:rPr>
                      <w:sz w:val="21"/>
                      <w:szCs w:val="21"/>
                      <w:lang w:val="en-GB"/>
                    </w:rPr>
                    <w:t>[●]</w:t>
                  </w:r>
                </w:p>
              </w:tc>
            </w:tr>
          </w:tbl>
          <w:p w14:paraId="6D3E4DDF" w14:textId="77777777" w:rsidR="000665E7" w:rsidRPr="00115DDA" w:rsidRDefault="000665E7" w:rsidP="000665E7">
            <w:pPr>
              <w:spacing w:before="80" w:after="80"/>
              <w:rPr>
                <w:sz w:val="20"/>
                <w:szCs w:val="20"/>
              </w:rPr>
            </w:pPr>
          </w:p>
          <w:p w14:paraId="6BA2F83D" w14:textId="77777777" w:rsidR="000665E7" w:rsidRPr="00115DDA" w:rsidRDefault="000665E7" w:rsidP="000665E7">
            <w:pPr>
              <w:pStyle w:val="LALevel4"/>
              <w:numPr>
                <w:ilvl w:val="0"/>
                <w:numId w:val="0"/>
              </w:numPr>
              <w:ind w:left="1559"/>
              <w:rPr>
                <w:lang w:val="en-GB"/>
              </w:rPr>
            </w:pPr>
          </w:p>
          <w:p w14:paraId="1C02AD2F" w14:textId="53149C73" w:rsidR="000665E7" w:rsidRDefault="000665E7" w:rsidP="000665E7">
            <w:pPr>
              <w:spacing w:before="80" w:after="80"/>
              <w:jc w:val="both"/>
              <w:rPr>
                <w:sz w:val="20"/>
                <w:szCs w:val="20"/>
                <w:lang w:val="en-GB"/>
              </w:rPr>
            </w:pPr>
            <w:bookmarkStart w:id="1" w:name="_Ref522295335"/>
            <w:bookmarkStart w:id="2" w:name="_Ref14712092"/>
            <w:bookmarkStart w:id="3" w:name="_Ref528598226"/>
            <w:r w:rsidRPr="00115DDA">
              <w:rPr>
                <w:sz w:val="20"/>
                <w:szCs w:val="20"/>
                <w:lang w:val="en-GB"/>
              </w:rPr>
              <w:t xml:space="preserve">Without undue delay after the </w:t>
            </w:r>
            <w:r w:rsidR="00963432" w:rsidRPr="00115DDA">
              <w:rPr>
                <w:sz w:val="20"/>
                <w:szCs w:val="20"/>
                <w:lang w:val="en-GB"/>
              </w:rPr>
              <w:t>EIT Digital Grant</w:t>
            </w:r>
            <w:r w:rsidRPr="00115DDA">
              <w:rPr>
                <w:sz w:val="20"/>
                <w:szCs w:val="20"/>
                <w:lang w:val="en-GB"/>
              </w:rPr>
              <w:t xml:space="preserve"> has been provided by </w:t>
            </w:r>
            <w:r w:rsidR="00E520BD" w:rsidRPr="00115DDA">
              <w:rPr>
                <w:sz w:val="20"/>
                <w:szCs w:val="20"/>
                <w:lang w:val="en-GB"/>
              </w:rPr>
              <w:t>EIT Digital</w:t>
            </w:r>
            <w:r w:rsidRPr="00115DDA">
              <w:rPr>
                <w:sz w:val="20"/>
                <w:szCs w:val="20"/>
                <w:lang w:val="en-GB"/>
              </w:rPr>
              <w:t xml:space="preserve">, the Company shall with declarative effect confirm vis à vis </w:t>
            </w:r>
            <w:r w:rsidR="00E520BD" w:rsidRPr="00115DDA">
              <w:rPr>
                <w:sz w:val="20"/>
                <w:szCs w:val="20"/>
                <w:lang w:val="en-GB"/>
              </w:rPr>
              <w:t>EIT Digital</w:t>
            </w:r>
            <w:r w:rsidRPr="00115DDA">
              <w:rPr>
                <w:sz w:val="20"/>
                <w:szCs w:val="20"/>
                <w:lang w:val="en-GB"/>
              </w:rPr>
              <w:t xml:space="preserve"> in written form the number of Options </w:t>
            </w:r>
            <w:r w:rsidR="00E520BD" w:rsidRPr="00115DDA">
              <w:rPr>
                <w:sz w:val="20"/>
                <w:szCs w:val="20"/>
                <w:lang w:val="en-GB"/>
              </w:rPr>
              <w:t>EIT Digital</w:t>
            </w:r>
            <w:r w:rsidRPr="00115DDA">
              <w:rPr>
                <w:sz w:val="20"/>
                <w:szCs w:val="20"/>
                <w:lang w:val="en-GB"/>
              </w:rPr>
              <w:t xml:space="preserve"> is entitled to.</w:t>
            </w:r>
            <w:bookmarkEnd w:id="1"/>
            <w:r w:rsidRPr="00115DDA">
              <w:rPr>
                <w:sz w:val="20"/>
                <w:szCs w:val="20"/>
                <w:lang w:val="en-GB"/>
              </w:rPr>
              <w:t xml:space="preserve"> For the calculation of the number of Options</w:t>
            </w:r>
            <w:r w:rsidR="00DA7AE3">
              <w:rPr>
                <w:sz w:val="20"/>
                <w:szCs w:val="20"/>
                <w:lang w:val="en-GB"/>
              </w:rPr>
              <w:t>, an agreed valuation method based on</w:t>
            </w:r>
            <w:r w:rsidRPr="00115DDA">
              <w:rPr>
                <w:sz w:val="20"/>
                <w:szCs w:val="20"/>
                <w:lang w:val="en-GB"/>
              </w:rPr>
              <w:t xml:space="preserve"> generally accepted financial and mathematical principles shall apply.</w:t>
            </w:r>
            <w:bookmarkEnd w:id="2"/>
            <w:bookmarkEnd w:id="3"/>
          </w:p>
          <w:p w14:paraId="27AF1723" w14:textId="67149771" w:rsidR="00115DDA" w:rsidRPr="00115DDA" w:rsidRDefault="00115DDA" w:rsidP="000665E7">
            <w:pPr>
              <w:spacing w:before="80" w:after="80"/>
              <w:jc w:val="both"/>
              <w:rPr>
                <w:sz w:val="20"/>
                <w:szCs w:val="20"/>
              </w:rPr>
            </w:pPr>
          </w:p>
        </w:tc>
      </w:tr>
      <w:tr w:rsidR="009F4447" w:rsidRPr="002E6D48" w14:paraId="17CFE2EF" w14:textId="77777777">
        <w:tc>
          <w:tcPr>
            <w:tcW w:w="2628" w:type="dxa"/>
          </w:tcPr>
          <w:p w14:paraId="141FFE52" w14:textId="77777777" w:rsidR="00E520BD" w:rsidRDefault="009F4447">
            <w:pPr>
              <w:pBdr>
                <w:top w:val="nil"/>
                <w:left w:val="nil"/>
                <w:bottom w:val="nil"/>
                <w:right w:val="nil"/>
                <w:between w:val="nil"/>
              </w:pBdr>
              <w:spacing w:before="80" w:after="80"/>
              <w:rPr>
                <w:b/>
                <w:sz w:val="20"/>
                <w:szCs w:val="20"/>
              </w:rPr>
            </w:pPr>
            <w:r>
              <w:rPr>
                <w:b/>
                <w:sz w:val="20"/>
                <w:szCs w:val="20"/>
              </w:rPr>
              <w:t>Financial Events</w:t>
            </w:r>
            <w:r w:rsidR="00E520BD">
              <w:rPr>
                <w:b/>
                <w:sz w:val="20"/>
                <w:szCs w:val="20"/>
              </w:rPr>
              <w:t>/</w:t>
            </w:r>
          </w:p>
          <w:p w14:paraId="06607AB3" w14:textId="21579B37" w:rsidR="009F4447" w:rsidRDefault="00E520BD">
            <w:pPr>
              <w:pBdr>
                <w:top w:val="nil"/>
                <w:left w:val="nil"/>
                <w:bottom w:val="nil"/>
                <w:right w:val="nil"/>
                <w:between w:val="nil"/>
              </w:pBdr>
              <w:spacing w:before="80" w:after="80"/>
              <w:rPr>
                <w:b/>
                <w:sz w:val="20"/>
                <w:szCs w:val="20"/>
              </w:rPr>
            </w:pPr>
            <w:r>
              <w:rPr>
                <w:b/>
                <w:sz w:val="20"/>
                <w:szCs w:val="20"/>
              </w:rPr>
              <w:t>Exercise</w:t>
            </w:r>
            <w:r w:rsidR="009F4447">
              <w:rPr>
                <w:b/>
                <w:sz w:val="20"/>
                <w:szCs w:val="20"/>
              </w:rPr>
              <w:t xml:space="preserve"> </w:t>
            </w:r>
          </w:p>
        </w:tc>
        <w:tc>
          <w:tcPr>
            <w:tcW w:w="7642" w:type="dxa"/>
          </w:tcPr>
          <w:p w14:paraId="20A5D801" w14:textId="695CC4B3" w:rsidR="009F4447" w:rsidRPr="009F4447" w:rsidRDefault="009F4447" w:rsidP="009F4447">
            <w:pPr>
              <w:spacing w:before="80" w:after="80"/>
              <w:jc w:val="both"/>
              <w:rPr>
                <w:sz w:val="20"/>
                <w:szCs w:val="20"/>
              </w:rPr>
            </w:pPr>
            <w:r w:rsidRPr="009F4447">
              <w:rPr>
                <w:sz w:val="20"/>
                <w:szCs w:val="20"/>
              </w:rPr>
              <w:t xml:space="preserve">Each of the following events shall be a </w:t>
            </w:r>
            <w:r w:rsidRPr="009F4447">
              <w:rPr>
                <w:b/>
                <w:sz w:val="20"/>
                <w:szCs w:val="20"/>
              </w:rPr>
              <w:t>“Financial Event”</w:t>
            </w:r>
            <w:r w:rsidRPr="009F4447">
              <w:rPr>
                <w:sz w:val="20"/>
                <w:szCs w:val="20"/>
              </w:rPr>
              <w:t>:</w:t>
            </w:r>
            <w:r w:rsidR="00EE59B9">
              <w:rPr>
                <w:rStyle w:val="FootnoteReference"/>
                <w:sz w:val="20"/>
                <w:szCs w:val="20"/>
              </w:rPr>
              <w:footnoteReference w:id="2"/>
            </w:r>
          </w:p>
          <w:p w14:paraId="155C664C" w14:textId="77777777" w:rsidR="009F4447" w:rsidRPr="009F4447" w:rsidRDefault="009F4447" w:rsidP="009F4447">
            <w:pPr>
              <w:numPr>
                <w:ilvl w:val="0"/>
                <w:numId w:val="1"/>
              </w:numPr>
              <w:spacing w:before="80" w:after="80"/>
              <w:jc w:val="both"/>
              <w:rPr>
                <w:sz w:val="20"/>
                <w:szCs w:val="20"/>
              </w:rPr>
            </w:pPr>
            <w:r w:rsidRPr="009F4447">
              <w:rPr>
                <w:sz w:val="20"/>
                <w:szCs w:val="20"/>
              </w:rPr>
              <w:t>Sale of more than 50% of the shares in the Company;</w:t>
            </w:r>
          </w:p>
          <w:p w14:paraId="14CD3379" w14:textId="77777777" w:rsidR="009F4447" w:rsidRPr="009F4447" w:rsidRDefault="009F4447" w:rsidP="009F4447">
            <w:pPr>
              <w:numPr>
                <w:ilvl w:val="0"/>
                <w:numId w:val="1"/>
              </w:numPr>
              <w:spacing w:before="80" w:after="80"/>
              <w:jc w:val="both"/>
              <w:rPr>
                <w:sz w:val="20"/>
                <w:szCs w:val="20"/>
              </w:rPr>
            </w:pPr>
            <w:r w:rsidRPr="009F4447">
              <w:rPr>
                <w:sz w:val="20"/>
                <w:szCs w:val="20"/>
              </w:rPr>
              <w:lastRenderedPageBreak/>
              <w:t>Sale of more than 50% of the assets as well as the licensing of substantial IP rights of the Company;</w:t>
            </w:r>
          </w:p>
          <w:p w14:paraId="639CB750" w14:textId="768E5B48" w:rsidR="00DA7AE3" w:rsidRDefault="009F4447" w:rsidP="009F4447">
            <w:pPr>
              <w:numPr>
                <w:ilvl w:val="0"/>
                <w:numId w:val="1"/>
              </w:numPr>
              <w:spacing w:before="80" w:after="80"/>
              <w:jc w:val="both"/>
              <w:rPr>
                <w:sz w:val="20"/>
                <w:szCs w:val="20"/>
              </w:rPr>
            </w:pPr>
            <w:r w:rsidRPr="009F4447">
              <w:rPr>
                <w:sz w:val="20"/>
                <w:szCs w:val="20"/>
              </w:rPr>
              <w:t>IPO</w:t>
            </w:r>
          </w:p>
          <w:p w14:paraId="1F3C75D6" w14:textId="1F891EA4" w:rsidR="009F4447" w:rsidRPr="009F4447" w:rsidRDefault="00DA7AE3" w:rsidP="009F4447">
            <w:pPr>
              <w:numPr>
                <w:ilvl w:val="0"/>
                <w:numId w:val="1"/>
              </w:numPr>
              <w:spacing w:before="80" w:after="80"/>
              <w:jc w:val="both"/>
              <w:rPr>
                <w:sz w:val="20"/>
                <w:szCs w:val="20"/>
              </w:rPr>
            </w:pPr>
            <w:r>
              <w:rPr>
                <w:sz w:val="20"/>
                <w:szCs w:val="20"/>
              </w:rPr>
              <w:t>Capital increase</w:t>
            </w:r>
            <w:r w:rsidR="009F4447" w:rsidRPr="009F4447">
              <w:rPr>
                <w:sz w:val="20"/>
                <w:szCs w:val="20"/>
              </w:rPr>
              <w:t>; and</w:t>
            </w:r>
          </w:p>
          <w:p w14:paraId="49004BF8" w14:textId="5EA47980" w:rsidR="00EC24A3" w:rsidRPr="007F39D2" w:rsidRDefault="009F4447" w:rsidP="009F4447">
            <w:pPr>
              <w:numPr>
                <w:ilvl w:val="0"/>
                <w:numId w:val="1"/>
              </w:numPr>
              <w:spacing w:before="80" w:after="80"/>
              <w:jc w:val="both"/>
              <w:rPr>
                <w:sz w:val="20"/>
                <w:szCs w:val="20"/>
              </w:rPr>
            </w:pPr>
            <w:r w:rsidRPr="009F4447">
              <w:rPr>
                <w:sz w:val="20"/>
                <w:szCs w:val="20"/>
              </w:rPr>
              <w:t>Liquidation</w:t>
            </w:r>
            <w:r w:rsidR="007F39D2">
              <w:rPr>
                <w:sz w:val="20"/>
                <w:szCs w:val="20"/>
              </w:rPr>
              <w:t>.</w:t>
            </w:r>
          </w:p>
          <w:p w14:paraId="1104B428" w14:textId="77777777" w:rsidR="009F4447" w:rsidRPr="00115DDA" w:rsidRDefault="009F4447" w:rsidP="009F4447">
            <w:pPr>
              <w:spacing w:before="80" w:after="80"/>
              <w:jc w:val="both"/>
              <w:rPr>
                <w:sz w:val="20"/>
                <w:szCs w:val="20"/>
              </w:rPr>
            </w:pPr>
            <w:r w:rsidRPr="00115DDA">
              <w:rPr>
                <w:sz w:val="20"/>
                <w:szCs w:val="20"/>
              </w:rPr>
              <w:t xml:space="preserve">In the event of a merger, the </w:t>
            </w:r>
            <w:r w:rsidR="008919D1" w:rsidRPr="00115DDA">
              <w:rPr>
                <w:sz w:val="20"/>
                <w:szCs w:val="20"/>
              </w:rPr>
              <w:t>Option</w:t>
            </w:r>
            <w:r w:rsidRPr="00115DDA">
              <w:rPr>
                <w:sz w:val="20"/>
                <w:szCs w:val="20"/>
              </w:rPr>
              <w:t xml:space="preserve">s of </w:t>
            </w:r>
            <w:r w:rsidR="00BE2469" w:rsidRPr="00115DDA">
              <w:rPr>
                <w:sz w:val="20"/>
                <w:szCs w:val="20"/>
              </w:rPr>
              <w:t>EIT Digital</w:t>
            </w:r>
            <w:r w:rsidRPr="00115DDA">
              <w:rPr>
                <w:sz w:val="20"/>
                <w:szCs w:val="20"/>
              </w:rPr>
              <w:t xml:space="preserve"> shall be converted into new </w:t>
            </w:r>
            <w:r w:rsidR="008919D1" w:rsidRPr="00115DDA">
              <w:rPr>
                <w:sz w:val="20"/>
                <w:szCs w:val="20"/>
              </w:rPr>
              <w:t>Option</w:t>
            </w:r>
            <w:r w:rsidRPr="00115DDA">
              <w:rPr>
                <w:sz w:val="20"/>
                <w:szCs w:val="20"/>
              </w:rPr>
              <w:t>s or similar instruments on the level of the new entity. The conversion shall occur on the same economic conditions as agreed for the shareholders.</w:t>
            </w:r>
          </w:p>
          <w:p w14:paraId="25C06C8B" w14:textId="344AEC96" w:rsidR="00E520BD" w:rsidRPr="00115DDA" w:rsidRDefault="00E520BD" w:rsidP="00E520BD">
            <w:pPr>
              <w:pStyle w:val="LALevel3"/>
              <w:numPr>
                <w:ilvl w:val="0"/>
                <w:numId w:val="0"/>
              </w:numPr>
              <w:tabs>
                <w:tab w:val="clear" w:pos="567"/>
              </w:tabs>
              <w:rPr>
                <w:sz w:val="20"/>
                <w:szCs w:val="20"/>
                <w:lang w:val="en-GB"/>
              </w:rPr>
            </w:pPr>
            <w:r w:rsidRPr="00115DDA">
              <w:rPr>
                <w:sz w:val="20"/>
                <w:szCs w:val="20"/>
                <w:lang w:val="en-GB"/>
              </w:rPr>
              <w:t>The Options can only be exercised by EIT Digital within 2 (two) weeks after the Company has informed EIT Digital of the occurrence of a Financial Event and only in the same ratio as the Shares held by the shareholders are commercially affected by the Financial Event by giving written notice to the Company (“</w:t>
            </w:r>
            <w:r w:rsidRPr="00115DDA">
              <w:rPr>
                <w:b/>
                <w:sz w:val="20"/>
                <w:szCs w:val="20"/>
                <w:lang w:val="en-GB"/>
              </w:rPr>
              <w:t>Exercise Notice</w:t>
            </w:r>
            <w:r w:rsidRPr="00115DDA">
              <w:rPr>
                <w:sz w:val="20"/>
                <w:szCs w:val="20"/>
                <w:lang w:val="en-GB"/>
              </w:rPr>
              <w:t xml:space="preserve">”) </w:t>
            </w:r>
            <w:r w:rsidRPr="00115DDA">
              <w:rPr>
                <w:i/>
                <w:sz w:val="20"/>
                <w:szCs w:val="20"/>
                <w:lang w:val="en-GB"/>
              </w:rPr>
              <w:t>(</w:t>
            </w:r>
            <w:r w:rsidRPr="00115DDA">
              <w:rPr>
                <w:i/>
                <w:sz w:val="20"/>
                <w:szCs w:val="20"/>
                <w:u w:val="single"/>
                <w:lang w:val="en-GB"/>
              </w:rPr>
              <w:t>Example:</w:t>
            </w:r>
            <w:r w:rsidRPr="00115DDA">
              <w:rPr>
                <w:i/>
                <w:sz w:val="20"/>
                <w:szCs w:val="20"/>
                <w:lang w:val="en-GB"/>
              </w:rPr>
              <w:t xml:space="preserve"> If the current shareholders sell 80 % of their Shares, EIT Digital is entitled to exercise 80 % of its Options)</w:t>
            </w:r>
            <w:r w:rsidRPr="00115DDA">
              <w:rPr>
                <w:sz w:val="20"/>
                <w:szCs w:val="20"/>
                <w:lang w:val="en-GB"/>
              </w:rPr>
              <w:t xml:space="preserve">. </w:t>
            </w:r>
          </w:p>
          <w:p w14:paraId="3E4FD5F5" w14:textId="38EA567C" w:rsidR="00E520BD" w:rsidRPr="00E520BD" w:rsidRDefault="00E520BD" w:rsidP="009F4447">
            <w:pPr>
              <w:spacing w:before="80" w:after="80"/>
              <w:jc w:val="both"/>
              <w:rPr>
                <w:sz w:val="20"/>
                <w:szCs w:val="20"/>
                <w:lang w:val="en-GB"/>
              </w:rPr>
            </w:pPr>
          </w:p>
        </w:tc>
      </w:tr>
      <w:tr w:rsidR="002E6D48" w:rsidRPr="002E6D48" w14:paraId="362B280F" w14:textId="77777777">
        <w:tc>
          <w:tcPr>
            <w:tcW w:w="2628" w:type="dxa"/>
          </w:tcPr>
          <w:p w14:paraId="5D3632EF" w14:textId="0CEB036C" w:rsidR="00BB7C39" w:rsidRPr="002E6D48" w:rsidRDefault="00BB7C39">
            <w:pPr>
              <w:pBdr>
                <w:top w:val="nil"/>
                <w:left w:val="nil"/>
                <w:bottom w:val="nil"/>
                <w:right w:val="nil"/>
                <w:between w:val="nil"/>
              </w:pBdr>
              <w:spacing w:before="80" w:after="80"/>
              <w:rPr>
                <w:b/>
                <w:sz w:val="20"/>
                <w:szCs w:val="20"/>
                <w:highlight w:val="yellow"/>
              </w:rPr>
            </w:pPr>
            <w:r w:rsidRPr="00AE05D0">
              <w:rPr>
                <w:b/>
                <w:sz w:val="20"/>
                <w:szCs w:val="20"/>
              </w:rPr>
              <w:lastRenderedPageBreak/>
              <w:t>Liquidation Preference</w:t>
            </w:r>
          </w:p>
        </w:tc>
        <w:tc>
          <w:tcPr>
            <w:tcW w:w="7642" w:type="dxa"/>
          </w:tcPr>
          <w:p w14:paraId="2DE613CA" w14:textId="77777777" w:rsidR="00344E70" w:rsidRDefault="00344E70" w:rsidP="00BB7C39">
            <w:pPr>
              <w:spacing w:before="80" w:after="80"/>
              <w:jc w:val="both"/>
              <w:rPr>
                <w:sz w:val="20"/>
                <w:szCs w:val="20"/>
              </w:rPr>
            </w:pPr>
            <w:r w:rsidRPr="00344E70">
              <w:rPr>
                <w:sz w:val="20"/>
                <w:szCs w:val="20"/>
              </w:rPr>
              <w:t>If at the time of the Financial Event, the Company has issued in addition to common shares, preferred shares or if the shareholders of the Company have agreed contractually to treat certain shares as preferred shares or equip certain shares with preferred rights such as liquidation preferences, the following shall apply</w:t>
            </w:r>
            <w:r>
              <w:rPr>
                <w:sz w:val="20"/>
                <w:szCs w:val="20"/>
              </w:rPr>
              <w:t xml:space="preserve">. </w:t>
            </w:r>
          </w:p>
          <w:p w14:paraId="20B283CE" w14:textId="07049769" w:rsidR="00BB7C39" w:rsidRPr="002E6D48" w:rsidRDefault="00BB7C39" w:rsidP="00BB7C39">
            <w:pPr>
              <w:spacing w:before="80" w:after="80"/>
              <w:jc w:val="both"/>
              <w:rPr>
                <w:sz w:val="20"/>
                <w:szCs w:val="20"/>
                <w:lang w:val="en-GB"/>
              </w:rPr>
            </w:pPr>
            <w:r w:rsidRPr="002E6D48">
              <w:rPr>
                <w:sz w:val="20"/>
                <w:szCs w:val="20"/>
              </w:rPr>
              <w:t xml:space="preserve">Upon the occurrence of </w:t>
            </w:r>
            <w:r w:rsidR="00937652">
              <w:rPr>
                <w:sz w:val="20"/>
                <w:szCs w:val="20"/>
              </w:rPr>
              <w:t xml:space="preserve">a </w:t>
            </w:r>
            <w:r w:rsidR="00FB76CD">
              <w:rPr>
                <w:sz w:val="20"/>
                <w:szCs w:val="20"/>
              </w:rPr>
              <w:t>F</w:t>
            </w:r>
            <w:r w:rsidR="00937652">
              <w:rPr>
                <w:sz w:val="20"/>
                <w:szCs w:val="20"/>
              </w:rPr>
              <w:t xml:space="preserve">inancial </w:t>
            </w:r>
            <w:r w:rsidR="00FB76CD">
              <w:rPr>
                <w:sz w:val="20"/>
                <w:szCs w:val="20"/>
              </w:rPr>
              <w:t>E</w:t>
            </w:r>
            <w:r w:rsidRPr="002E6D48">
              <w:rPr>
                <w:sz w:val="20"/>
                <w:szCs w:val="20"/>
              </w:rPr>
              <w:t xml:space="preserve">vent, </w:t>
            </w:r>
            <w:r w:rsidR="00BE2469">
              <w:rPr>
                <w:sz w:val="20"/>
                <w:szCs w:val="20"/>
              </w:rPr>
              <w:t>EIT Digital</w:t>
            </w:r>
            <w:r w:rsidRPr="002E6D48">
              <w:rPr>
                <w:sz w:val="20"/>
                <w:szCs w:val="20"/>
              </w:rPr>
              <w:t xml:space="preserve"> shall, with respect to its </w:t>
            </w:r>
            <w:r w:rsidR="008919D1">
              <w:rPr>
                <w:sz w:val="20"/>
                <w:szCs w:val="20"/>
              </w:rPr>
              <w:t>Option</w:t>
            </w:r>
            <w:r w:rsidR="00334648">
              <w:rPr>
                <w:sz w:val="20"/>
                <w:szCs w:val="20"/>
              </w:rPr>
              <w:t>s</w:t>
            </w:r>
            <w:r w:rsidRPr="002E6D48">
              <w:rPr>
                <w:sz w:val="20"/>
                <w:szCs w:val="20"/>
              </w:rPr>
              <w:t xml:space="preserve">, be entitled to a first rank </w:t>
            </w:r>
            <w:bookmarkStart w:id="4" w:name="_Ref522025646"/>
            <w:r w:rsidRPr="002E6D48">
              <w:rPr>
                <w:sz w:val="20"/>
                <w:szCs w:val="20"/>
                <w:lang w:val="en-GB"/>
              </w:rPr>
              <w:t xml:space="preserve">non-participating sales and liquidation preference equal to the amount of </w:t>
            </w:r>
            <w:r w:rsidRPr="00115DDA">
              <w:rPr>
                <w:sz w:val="20"/>
                <w:szCs w:val="20"/>
                <w:lang w:val="en-GB"/>
              </w:rPr>
              <w:t>its payments</w:t>
            </w:r>
            <w:r w:rsidR="00E520BD" w:rsidRPr="00115DDA">
              <w:rPr>
                <w:sz w:val="20"/>
                <w:szCs w:val="20"/>
                <w:lang w:val="en-GB"/>
              </w:rPr>
              <w:t xml:space="preserve"> under the </w:t>
            </w:r>
            <w:r w:rsidR="00963432" w:rsidRPr="00115DDA">
              <w:rPr>
                <w:sz w:val="20"/>
                <w:szCs w:val="20"/>
                <w:lang w:val="en-GB"/>
              </w:rPr>
              <w:t>EIT Digital Grant</w:t>
            </w:r>
            <w:r w:rsidRPr="00115DDA">
              <w:rPr>
                <w:sz w:val="20"/>
                <w:szCs w:val="20"/>
                <w:lang w:val="en-GB"/>
              </w:rPr>
              <w:t xml:space="preserve"> to the Company per </w:t>
            </w:r>
            <w:r w:rsidR="008919D1" w:rsidRPr="00115DDA">
              <w:rPr>
                <w:sz w:val="20"/>
                <w:szCs w:val="20"/>
                <w:lang w:val="en-GB"/>
              </w:rPr>
              <w:t>Option</w:t>
            </w:r>
            <w:r w:rsidRPr="002E6D48">
              <w:rPr>
                <w:sz w:val="20"/>
                <w:szCs w:val="20"/>
                <w:lang w:val="en-GB"/>
              </w:rPr>
              <w:t xml:space="preserve"> that shall rank </w:t>
            </w:r>
            <w:r w:rsidRPr="002E6D48">
              <w:rPr>
                <w:sz w:val="20"/>
                <w:szCs w:val="20"/>
              </w:rPr>
              <w:t xml:space="preserve">by complying with the “last in - first out principle” </w:t>
            </w:r>
            <w:r w:rsidRPr="002E6D48">
              <w:rPr>
                <w:sz w:val="20"/>
                <w:szCs w:val="20"/>
                <w:lang w:val="en-GB"/>
              </w:rPr>
              <w:t>(</w:t>
            </w:r>
            <w:proofErr w:type="spellStart"/>
            <w:r w:rsidRPr="002E6D48">
              <w:rPr>
                <w:sz w:val="20"/>
                <w:szCs w:val="20"/>
                <w:lang w:val="en-GB"/>
              </w:rPr>
              <w:t>i</w:t>
            </w:r>
            <w:proofErr w:type="spellEnd"/>
            <w:r w:rsidRPr="002E6D48">
              <w:rPr>
                <w:sz w:val="20"/>
                <w:szCs w:val="20"/>
                <w:lang w:val="en-GB"/>
              </w:rPr>
              <w:t xml:space="preserve">) senior to the common shares issued in the Company and (ii) junior </w:t>
            </w:r>
            <w:r w:rsidR="0095022D">
              <w:rPr>
                <w:sz w:val="20"/>
                <w:szCs w:val="20"/>
                <w:lang w:val="en-GB"/>
              </w:rPr>
              <w:t xml:space="preserve">to any </w:t>
            </w:r>
            <w:r w:rsidR="00374421">
              <w:rPr>
                <w:sz w:val="20"/>
                <w:szCs w:val="20"/>
                <w:lang w:val="en-GB"/>
              </w:rPr>
              <w:t>higher</w:t>
            </w:r>
            <w:r w:rsidRPr="002E6D48">
              <w:rPr>
                <w:sz w:val="20"/>
                <w:szCs w:val="20"/>
                <w:lang w:val="en-GB"/>
              </w:rPr>
              <w:t xml:space="preserve"> Preferred Shares, if any.</w:t>
            </w:r>
            <w:bookmarkEnd w:id="4"/>
          </w:p>
          <w:p w14:paraId="57C2404A" w14:textId="6582FE67" w:rsidR="009C7997" w:rsidRDefault="00BE2469" w:rsidP="009C7997">
            <w:pPr>
              <w:spacing w:before="80" w:after="80"/>
              <w:jc w:val="both"/>
              <w:rPr>
                <w:sz w:val="20"/>
                <w:szCs w:val="20"/>
              </w:rPr>
            </w:pPr>
            <w:r>
              <w:rPr>
                <w:sz w:val="20"/>
                <w:szCs w:val="20"/>
              </w:rPr>
              <w:t>EIT Digital</w:t>
            </w:r>
            <w:r w:rsidR="009C7997" w:rsidRPr="009C7997">
              <w:rPr>
                <w:sz w:val="20"/>
                <w:szCs w:val="20"/>
              </w:rPr>
              <w:t xml:space="preserve"> shall be entitled to its liquidation preference regardless of any applicable</w:t>
            </w:r>
            <w:r w:rsidR="009C7997">
              <w:rPr>
                <w:sz w:val="20"/>
                <w:szCs w:val="20"/>
              </w:rPr>
              <w:t xml:space="preserve"> </w:t>
            </w:r>
            <w:r w:rsidR="009C7997" w:rsidRPr="009C7997">
              <w:rPr>
                <w:sz w:val="20"/>
                <w:szCs w:val="20"/>
              </w:rPr>
              <w:t xml:space="preserve">escrow, holdback or other contingency provision. Thus, if upon </w:t>
            </w:r>
            <w:proofErr w:type="gramStart"/>
            <w:r w:rsidR="009C7997" w:rsidRPr="009C7997">
              <w:rPr>
                <w:sz w:val="20"/>
                <w:szCs w:val="20"/>
              </w:rPr>
              <w:t>an</w:t>
            </w:r>
            <w:proofErr w:type="gramEnd"/>
            <w:r w:rsidR="009C7997" w:rsidRPr="009C7997">
              <w:rPr>
                <w:sz w:val="20"/>
                <w:szCs w:val="20"/>
              </w:rPr>
              <w:t xml:space="preserve"> </w:t>
            </w:r>
            <w:r w:rsidR="00DA7AE3">
              <w:rPr>
                <w:sz w:val="20"/>
                <w:szCs w:val="20"/>
              </w:rPr>
              <w:t>Financial</w:t>
            </w:r>
            <w:r w:rsidR="009C7997" w:rsidRPr="009C7997">
              <w:rPr>
                <w:sz w:val="20"/>
                <w:szCs w:val="20"/>
              </w:rPr>
              <w:t xml:space="preserve"> Event</w:t>
            </w:r>
            <w:r w:rsidR="009C7997">
              <w:rPr>
                <w:sz w:val="20"/>
                <w:szCs w:val="20"/>
              </w:rPr>
              <w:t xml:space="preserve"> </w:t>
            </w:r>
            <w:r w:rsidR="009C7997" w:rsidRPr="009C7997">
              <w:rPr>
                <w:sz w:val="20"/>
                <w:szCs w:val="20"/>
              </w:rPr>
              <w:t xml:space="preserve">the initial payment is enough to fully pay the liquidation preference of </w:t>
            </w:r>
            <w:r>
              <w:rPr>
                <w:sz w:val="20"/>
                <w:szCs w:val="20"/>
              </w:rPr>
              <w:t>EIT Digital</w:t>
            </w:r>
            <w:r w:rsidR="009C7997">
              <w:rPr>
                <w:sz w:val="20"/>
                <w:szCs w:val="20"/>
              </w:rPr>
              <w:t xml:space="preserve"> </w:t>
            </w:r>
            <w:r w:rsidR="009C7997" w:rsidRPr="009C7997">
              <w:rPr>
                <w:sz w:val="20"/>
                <w:szCs w:val="20"/>
              </w:rPr>
              <w:t>(once any senior ranking liquidation preference has been previously paid in full), then</w:t>
            </w:r>
            <w:r w:rsidR="00513B67">
              <w:rPr>
                <w:sz w:val="20"/>
                <w:szCs w:val="20"/>
              </w:rPr>
              <w:t xml:space="preserve"> </w:t>
            </w:r>
            <w:r w:rsidR="009C7997" w:rsidRPr="009C7997">
              <w:rPr>
                <w:sz w:val="20"/>
                <w:szCs w:val="20"/>
              </w:rPr>
              <w:t xml:space="preserve">the liquidation preference of </w:t>
            </w:r>
            <w:r>
              <w:rPr>
                <w:sz w:val="20"/>
                <w:szCs w:val="20"/>
              </w:rPr>
              <w:t>EIT Digital</w:t>
            </w:r>
            <w:r w:rsidR="009C7997" w:rsidRPr="009C7997">
              <w:rPr>
                <w:sz w:val="20"/>
                <w:szCs w:val="20"/>
              </w:rPr>
              <w:t xml:space="preserve"> shall be fully paid.</w:t>
            </w:r>
          </w:p>
          <w:p w14:paraId="034CD8F0" w14:textId="5709813F" w:rsidR="00344E70" w:rsidRPr="002E6D48" w:rsidRDefault="00344E70" w:rsidP="00344E70">
            <w:pPr>
              <w:spacing w:before="80" w:after="80"/>
              <w:jc w:val="both"/>
              <w:rPr>
                <w:sz w:val="20"/>
                <w:szCs w:val="20"/>
              </w:rPr>
            </w:pPr>
            <w:r w:rsidRPr="004325A3">
              <w:rPr>
                <w:sz w:val="20"/>
                <w:szCs w:val="20"/>
              </w:rPr>
              <w:t>For the avoidance of doubt: If no shareholder is entitled for a liquidation preference,</w:t>
            </w:r>
            <w:r>
              <w:rPr>
                <w:sz w:val="20"/>
                <w:szCs w:val="20"/>
              </w:rPr>
              <w:t xml:space="preserve"> </w:t>
            </w:r>
            <w:r w:rsidRPr="004325A3">
              <w:rPr>
                <w:sz w:val="20"/>
                <w:szCs w:val="20"/>
              </w:rPr>
              <w:t xml:space="preserve">EIT </w:t>
            </w:r>
            <w:r w:rsidR="009F4A56">
              <w:rPr>
                <w:sz w:val="20"/>
                <w:szCs w:val="20"/>
              </w:rPr>
              <w:t>Digital</w:t>
            </w:r>
            <w:r w:rsidRPr="004325A3">
              <w:rPr>
                <w:sz w:val="20"/>
                <w:szCs w:val="20"/>
              </w:rPr>
              <w:t xml:space="preserve"> shall also not be entitled for a liquidation preference</w:t>
            </w:r>
            <w:r>
              <w:rPr>
                <w:sz w:val="20"/>
                <w:szCs w:val="20"/>
              </w:rPr>
              <w:t xml:space="preserve">. </w:t>
            </w:r>
          </w:p>
        </w:tc>
      </w:tr>
      <w:tr w:rsidR="002E6D48" w:rsidRPr="002E6D48" w14:paraId="1A12EAF1" w14:textId="77777777">
        <w:tc>
          <w:tcPr>
            <w:tcW w:w="2628" w:type="dxa"/>
          </w:tcPr>
          <w:p w14:paraId="0E345589" w14:textId="77777777" w:rsidR="0020107D" w:rsidRPr="002E6D48" w:rsidRDefault="00A94ECB">
            <w:pPr>
              <w:pBdr>
                <w:top w:val="nil"/>
                <w:left w:val="nil"/>
                <w:bottom w:val="nil"/>
                <w:right w:val="nil"/>
                <w:between w:val="nil"/>
              </w:pBdr>
              <w:spacing w:before="80" w:after="80"/>
              <w:rPr>
                <w:b/>
                <w:sz w:val="20"/>
                <w:szCs w:val="20"/>
              </w:rPr>
            </w:pPr>
            <w:r w:rsidRPr="002E6D48">
              <w:rPr>
                <w:b/>
                <w:sz w:val="20"/>
                <w:szCs w:val="20"/>
              </w:rPr>
              <w:t>ESOP</w:t>
            </w:r>
          </w:p>
        </w:tc>
        <w:tc>
          <w:tcPr>
            <w:tcW w:w="7642" w:type="dxa"/>
          </w:tcPr>
          <w:p w14:paraId="08C21E59" w14:textId="2B796FAD" w:rsidR="00D55046" w:rsidRPr="00115DDA" w:rsidRDefault="00BE2469" w:rsidP="00D55046">
            <w:pPr>
              <w:spacing w:before="80" w:after="80"/>
              <w:jc w:val="both"/>
              <w:rPr>
                <w:i/>
                <w:sz w:val="20"/>
                <w:szCs w:val="20"/>
              </w:rPr>
            </w:pPr>
            <w:r w:rsidRPr="00115DDA">
              <w:rPr>
                <w:iCs/>
                <w:sz w:val="20"/>
                <w:szCs w:val="20"/>
              </w:rPr>
              <w:t>EIT Digital</w:t>
            </w:r>
            <w:r w:rsidR="00D55046" w:rsidRPr="00115DDA">
              <w:rPr>
                <w:iCs/>
                <w:sz w:val="20"/>
                <w:szCs w:val="20"/>
              </w:rPr>
              <w:t xml:space="preserve"> will bear the economic burden of any employee stock option plans (“</w:t>
            </w:r>
            <w:r w:rsidR="00D55046" w:rsidRPr="00115DDA">
              <w:rPr>
                <w:b/>
                <w:bCs/>
                <w:iCs/>
                <w:sz w:val="20"/>
                <w:szCs w:val="20"/>
              </w:rPr>
              <w:t>E</w:t>
            </w:r>
            <w:r w:rsidR="00DA7AE3">
              <w:rPr>
                <w:b/>
                <w:bCs/>
                <w:iCs/>
                <w:sz w:val="20"/>
                <w:szCs w:val="20"/>
              </w:rPr>
              <w:t>S</w:t>
            </w:r>
            <w:r w:rsidR="00D55046" w:rsidRPr="00115DDA">
              <w:rPr>
                <w:b/>
                <w:bCs/>
                <w:iCs/>
                <w:sz w:val="20"/>
                <w:szCs w:val="20"/>
              </w:rPr>
              <w:t>OP</w:t>
            </w:r>
            <w:r w:rsidR="00D55046" w:rsidRPr="00115DDA">
              <w:rPr>
                <w:iCs/>
                <w:sz w:val="20"/>
                <w:szCs w:val="20"/>
              </w:rPr>
              <w:t xml:space="preserve">”) on a pro rata basis and in relation to the increased share capital of the Company. However, </w:t>
            </w:r>
            <w:r w:rsidRPr="00115DDA">
              <w:rPr>
                <w:iCs/>
                <w:sz w:val="20"/>
                <w:szCs w:val="20"/>
              </w:rPr>
              <w:t>EIT Digital</w:t>
            </w:r>
            <w:r w:rsidR="00D55046" w:rsidRPr="00115DDA">
              <w:rPr>
                <w:iCs/>
                <w:sz w:val="20"/>
                <w:szCs w:val="20"/>
              </w:rPr>
              <w:t xml:space="preserve"> shall bear the economic burden of ESOP only to a maximum corresponding to 15% of the </w:t>
            </w:r>
            <w:proofErr w:type="gramStart"/>
            <w:r w:rsidR="00D55046" w:rsidRPr="00115DDA">
              <w:rPr>
                <w:iCs/>
                <w:sz w:val="20"/>
                <w:szCs w:val="20"/>
              </w:rPr>
              <w:t>fully-diluted</w:t>
            </w:r>
            <w:proofErr w:type="gramEnd"/>
            <w:r w:rsidR="00D55046" w:rsidRPr="00115DDA">
              <w:rPr>
                <w:iCs/>
                <w:sz w:val="20"/>
                <w:szCs w:val="20"/>
              </w:rPr>
              <w:t xml:space="preserve"> share capital of the Company.</w:t>
            </w:r>
          </w:p>
        </w:tc>
      </w:tr>
      <w:tr w:rsidR="002E6D48" w:rsidRPr="002E6D48" w14:paraId="20B303A6" w14:textId="77777777">
        <w:tc>
          <w:tcPr>
            <w:tcW w:w="2628" w:type="dxa"/>
          </w:tcPr>
          <w:p w14:paraId="14BAFEBA" w14:textId="3321E785" w:rsidR="0020107D" w:rsidRPr="002E6D48" w:rsidRDefault="00A94ECB">
            <w:pPr>
              <w:pBdr>
                <w:top w:val="nil"/>
                <w:left w:val="nil"/>
                <w:bottom w:val="nil"/>
                <w:right w:val="nil"/>
                <w:between w:val="nil"/>
              </w:pBdr>
              <w:spacing w:before="80" w:after="80"/>
              <w:rPr>
                <w:b/>
                <w:sz w:val="20"/>
                <w:szCs w:val="20"/>
              </w:rPr>
            </w:pPr>
            <w:r w:rsidRPr="002E6D48">
              <w:rPr>
                <w:b/>
                <w:sz w:val="20"/>
                <w:szCs w:val="20"/>
              </w:rPr>
              <w:t>Information Rights</w:t>
            </w:r>
          </w:p>
        </w:tc>
        <w:tc>
          <w:tcPr>
            <w:tcW w:w="7642" w:type="dxa"/>
          </w:tcPr>
          <w:p w14:paraId="64CAD96B" w14:textId="5718974C" w:rsidR="0020107D" w:rsidRPr="002E6D48" w:rsidRDefault="00A94ECB">
            <w:pPr>
              <w:spacing w:before="80" w:after="80"/>
              <w:jc w:val="both"/>
              <w:rPr>
                <w:sz w:val="20"/>
                <w:szCs w:val="20"/>
              </w:rPr>
            </w:pPr>
            <w:r w:rsidRPr="002E6D48">
              <w:rPr>
                <w:sz w:val="20"/>
                <w:szCs w:val="20"/>
              </w:rPr>
              <w:t xml:space="preserve">As long as </w:t>
            </w:r>
            <w:r w:rsidR="00BE2469">
              <w:rPr>
                <w:sz w:val="20"/>
                <w:szCs w:val="20"/>
              </w:rPr>
              <w:t>EIT Digital</w:t>
            </w:r>
            <w:r w:rsidRPr="002E6D48">
              <w:rPr>
                <w:sz w:val="20"/>
                <w:szCs w:val="20"/>
              </w:rPr>
              <w:t xml:space="preserve"> holds </w:t>
            </w:r>
            <w:r w:rsidR="008919D1">
              <w:rPr>
                <w:sz w:val="20"/>
                <w:szCs w:val="20"/>
              </w:rPr>
              <w:t>Option</w:t>
            </w:r>
            <w:r w:rsidR="00091595" w:rsidRPr="002E6D48">
              <w:rPr>
                <w:sz w:val="20"/>
                <w:szCs w:val="20"/>
              </w:rPr>
              <w:t xml:space="preserve">s </w:t>
            </w:r>
            <w:r w:rsidRPr="002E6D48">
              <w:rPr>
                <w:sz w:val="20"/>
                <w:szCs w:val="20"/>
              </w:rPr>
              <w:t xml:space="preserve">in the Company, </w:t>
            </w:r>
            <w:r w:rsidR="00BE2469">
              <w:rPr>
                <w:sz w:val="20"/>
                <w:szCs w:val="20"/>
              </w:rPr>
              <w:t>EIT Digital</w:t>
            </w:r>
            <w:r w:rsidRPr="002E6D48">
              <w:rPr>
                <w:sz w:val="20"/>
                <w:szCs w:val="20"/>
              </w:rPr>
              <w:t xml:space="preserve"> shall be granted customary access and information rights with respect to the Company’s business and ongoing development. The Company’s management shall provide </w:t>
            </w:r>
            <w:r w:rsidR="00BE2469">
              <w:rPr>
                <w:sz w:val="20"/>
                <w:szCs w:val="20"/>
              </w:rPr>
              <w:t>EIT Digital</w:t>
            </w:r>
            <w:r w:rsidRPr="002E6D48">
              <w:rPr>
                <w:sz w:val="20"/>
                <w:szCs w:val="20"/>
              </w:rPr>
              <w:t xml:space="preserve"> with financial reports on a regular basis, including:</w:t>
            </w:r>
          </w:p>
          <w:p w14:paraId="2BF2C198" w14:textId="30AE5D7E" w:rsidR="001505F5" w:rsidRPr="001505F5" w:rsidRDefault="001505F5" w:rsidP="001505F5">
            <w:pPr>
              <w:pStyle w:val="ListParagraph"/>
              <w:numPr>
                <w:ilvl w:val="0"/>
                <w:numId w:val="2"/>
              </w:numPr>
              <w:rPr>
                <w:sz w:val="20"/>
                <w:szCs w:val="20"/>
              </w:rPr>
            </w:pPr>
            <w:r w:rsidRPr="001505F5">
              <w:rPr>
                <w:sz w:val="20"/>
                <w:szCs w:val="20"/>
              </w:rPr>
              <w:t xml:space="preserve">Unaudited or (to the extent required by law) audited annual financial statements and </w:t>
            </w:r>
            <w:r w:rsidR="003B2776">
              <w:rPr>
                <w:sz w:val="20"/>
                <w:szCs w:val="20"/>
              </w:rPr>
              <w:t>a</w:t>
            </w:r>
            <w:r w:rsidRPr="001505F5">
              <w:rPr>
                <w:sz w:val="20"/>
                <w:szCs w:val="20"/>
              </w:rPr>
              <w:t xml:space="preserve">nnual </w:t>
            </w:r>
            <w:r w:rsidR="003B2776">
              <w:rPr>
                <w:sz w:val="20"/>
                <w:szCs w:val="20"/>
              </w:rPr>
              <w:t>r</w:t>
            </w:r>
            <w:r w:rsidRPr="001505F5">
              <w:rPr>
                <w:sz w:val="20"/>
                <w:szCs w:val="20"/>
              </w:rPr>
              <w:t>eports at the latest at the end of February following the respective financial year;</w:t>
            </w:r>
          </w:p>
          <w:p w14:paraId="0CD20C28" w14:textId="1D61D19B" w:rsidR="001505F5" w:rsidRPr="001505F5" w:rsidRDefault="00C07347" w:rsidP="001505F5">
            <w:pPr>
              <w:pStyle w:val="ListParagraph"/>
              <w:numPr>
                <w:ilvl w:val="0"/>
                <w:numId w:val="2"/>
              </w:numPr>
              <w:rPr>
                <w:sz w:val="20"/>
                <w:szCs w:val="20"/>
              </w:rPr>
            </w:pPr>
            <w:r>
              <w:rPr>
                <w:sz w:val="20"/>
                <w:szCs w:val="20"/>
              </w:rPr>
              <w:lastRenderedPageBreak/>
              <w:t>A</w:t>
            </w:r>
            <w:r w:rsidR="001505F5" w:rsidRPr="001505F5">
              <w:rPr>
                <w:sz w:val="20"/>
                <w:szCs w:val="20"/>
              </w:rPr>
              <w:t xml:space="preserve">nnual business plan for the following financial year showing monthly projected financials as well as the </w:t>
            </w:r>
            <w:r w:rsidR="003B2776">
              <w:rPr>
                <w:sz w:val="20"/>
                <w:szCs w:val="20"/>
              </w:rPr>
              <w:t>annual p</w:t>
            </w:r>
            <w:r w:rsidR="001505F5" w:rsidRPr="001505F5">
              <w:rPr>
                <w:sz w:val="20"/>
                <w:szCs w:val="20"/>
              </w:rPr>
              <w:t>lan</w:t>
            </w:r>
            <w:r w:rsidR="003B2776">
              <w:rPr>
                <w:sz w:val="20"/>
                <w:szCs w:val="20"/>
              </w:rPr>
              <w:t xml:space="preserve"> suggested by the Company</w:t>
            </w:r>
            <w:r w:rsidR="001505F5" w:rsidRPr="001505F5">
              <w:rPr>
                <w:sz w:val="20"/>
                <w:szCs w:val="20"/>
              </w:rPr>
              <w:t>, at the latest at the end of August of the preceding financial year;</w:t>
            </w:r>
          </w:p>
          <w:p w14:paraId="71290311" w14:textId="260E52F6" w:rsidR="001505F5" w:rsidRDefault="00A412F3" w:rsidP="001505F5">
            <w:pPr>
              <w:pStyle w:val="ListParagraph"/>
              <w:numPr>
                <w:ilvl w:val="0"/>
                <w:numId w:val="2"/>
              </w:numPr>
              <w:rPr>
                <w:sz w:val="20"/>
                <w:szCs w:val="20"/>
              </w:rPr>
            </w:pPr>
            <w:r>
              <w:rPr>
                <w:sz w:val="20"/>
                <w:szCs w:val="20"/>
              </w:rPr>
              <w:t>Quarterly</w:t>
            </w:r>
            <w:r w:rsidR="00285BA3">
              <w:rPr>
                <w:sz w:val="20"/>
                <w:szCs w:val="20"/>
              </w:rPr>
              <w:t xml:space="preserve"> </w:t>
            </w:r>
            <w:r w:rsidR="001505F5" w:rsidRPr="001505F5">
              <w:rPr>
                <w:sz w:val="20"/>
                <w:szCs w:val="20"/>
              </w:rPr>
              <w:t>reporting of key performance indicators and financial analys</w:t>
            </w:r>
            <w:r w:rsidR="00285BA3">
              <w:rPr>
                <w:sz w:val="20"/>
                <w:szCs w:val="20"/>
              </w:rPr>
              <w:t>i</w:t>
            </w:r>
            <w:r w:rsidR="001505F5" w:rsidRPr="001505F5">
              <w:rPr>
                <w:sz w:val="20"/>
                <w:szCs w:val="20"/>
              </w:rPr>
              <w:t>s (BWA).</w:t>
            </w:r>
          </w:p>
          <w:p w14:paraId="6FE78A56" w14:textId="62838B54" w:rsidR="0020107D" w:rsidRPr="002E6D48" w:rsidRDefault="00BE2469">
            <w:pPr>
              <w:spacing w:before="80" w:after="80"/>
              <w:jc w:val="both"/>
              <w:rPr>
                <w:sz w:val="20"/>
                <w:szCs w:val="20"/>
              </w:rPr>
            </w:pPr>
            <w:r>
              <w:rPr>
                <w:sz w:val="20"/>
                <w:szCs w:val="20"/>
              </w:rPr>
              <w:t>EIT Digital</w:t>
            </w:r>
            <w:r w:rsidR="00A94ECB" w:rsidRPr="002E6D48">
              <w:rPr>
                <w:sz w:val="20"/>
                <w:szCs w:val="20"/>
              </w:rPr>
              <w:t xml:space="preserve"> will</w:t>
            </w:r>
            <w:r w:rsidR="00963432">
              <w:rPr>
                <w:sz w:val="20"/>
                <w:szCs w:val="20"/>
              </w:rPr>
              <w:t xml:space="preserve"> not claim any position in the governing Board of the Company.</w:t>
            </w:r>
          </w:p>
        </w:tc>
      </w:tr>
      <w:tr w:rsidR="002E6D48" w:rsidRPr="002E6D48" w14:paraId="7D9E4928" w14:textId="77777777">
        <w:tc>
          <w:tcPr>
            <w:tcW w:w="2628" w:type="dxa"/>
          </w:tcPr>
          <w:p w14:paraId="0E9FBB45" w14:textId="77777777" w:rsidR="0020107D" w:rsidRPr="002E6D48" w:rsidRDefault="00A94ECB">
            <w:pPr>
              <w:pBdr>
                <w:top w:val="nil"/>
                <w:left w:val="nil"/>
                <w:bottom w:val="nil"/>
                <w:right w:val="nil"/>
                <w:between w:val="nil"/>
              </w:pBdr>
              <w:spacing w:before="80" w:after="80"/>
              <w:rPr>
                <w:b/>
                <w:sz w:val="20"/>
                <w:szCs w:val="20"/>
              </w:rPr>
            </w:pPr>
            <w:r w:rsidRPr="002E6D48">
              <w:rPr>
                <w:b/>
                <w:sz w:val="20"/>
                <w:szCs w:val="20"/>
              </w:rPr>
              <w:lastRenderedPageBreak/>
              <w:t>Indicative</w:t>
            </w:r>
            <w:r w:rsidRPr="002E6D48">
              <w:rPr>
                <w:b/>
                <w:sz w:val="20"/>
                <w:szCs w:val="20"/>
              </w:rPr>
              <w:br/>
              <w:t>Timeline</w:t>
            </w:r>
          </w:p>
        </w:tc>
        <w:tc>
          <w:tcPr>
            <w:tcW w:w="7642" w:type="dxa"/>
          </w:tcPr>
          <w:p w14:paraId="4A024BDA" w14:textId="7E94027D" w:rsidR="0020107D" w:rsidRPr="007E5434" w:rsidRDefault="00A94ECB">
            <w:pPr>
              <w:pBdr>
                <w:top w:val="nil"/>
                <w:left w:val="nil"/>
                <w:bottom w:val="nil"/>
                <w:right w:val="nil"/>
                <w:between w:val="nil"/>
              </w:pBdr>
              <w:spacing w:before="80" w:after="80"/>
              <w:jc w:val="both"/>
              <w:rPr>
                <w:sz w:val="20"/>
                <w:szCs w:val="20"/>
              </w:rPr>
            </w:pPr>
            <w:r w:rsidRPr="002E6D48">
              <w:rPr>
                <w:sz w:val="20"/>
                <w:szCs w:val="20"/>
              </w:rPr>
              <w:t xml:space="preserve">Final agreements about the participation of </w:t>
            </w:r>
            <w:r w:rsidR="00BE2469">
              <w:rPr>
                <w:sz w:val="20"/>
                <w:szCs w:val="20"/>
              </w:rPr>
              <w:t>EIT Digital</w:t>
            </w:r>
            <w:r w:rsidRPr="002E6D48">
              <w:rPr>
                <w:sz w:val="20"/>
                <w:szCs w:val="20"/>
              </w:rPr>
              <w:t xml:space="preserve"> shall be signed </w:t>
            </w:r>
            <w:r w:rsidRPr="007E5434">
              <w:rPr>
                <w:sz w:val="20"/>
                <w:szCs w:val="20"/>
              </w:rPr>
              <w:t>by [●].</w:t>
            </w:r>
          </w:p>
          <w:p w14:paraId="50B7590E" w14:textId="48BAEB5E" w:rsidR="0020107D" w:rsidRPr="007E5434" w:rsidRDefault="00A94ECB">
            <w:pPr>
              <w:pBdr>
                <w:top w:val="nil"/>
                <w:left w:val="nil"/>
                <w:bottom w:val="nil"/>
                <w:right w:val="nil"/>
                <w:between w:val="nil"/>
              </w:pBdr>
              <w:spacing w:before="80" w:after="80"/>
              <w:jc w:val="both"/>
              <w:rPr>
                <w:sz w:val="20"/>
                <w:szCs w:val="20"/>
              </w:rPr>
            </w:pPr>
            <w:r w:rsidRPr="007E5434">
              <w:rPr>
                <w:sz w:val="20"/>
                <w:szCs w:val="20"/>
              </w:rPr>
              <w:t xml:space="preserve">First payout </w:t>
            </w:r>
            <w:r w:rsidR="00963432" w:rsidRPr="007E5434">
              <w:rPr>
                <w:sz w:val="20"/>
                <w:szCs w:val="20"/>
              </w:rPr>
              <w:t xml:space="preserve">of the EIT Digital Grant </w:t>
            </w:r>
            <w:r w:rsidRPr="007E5434">
              <w:rPr>
                <w:sz w:val="20"/>
                <w:szCs w:val="20"/>
              </w:rPr>
              <w:t>shall be [●].</w:t>
            </w:r>
          </w:p>
          <w:p w14:paraId="5524BE1D" w14:textId="649CDBB9" w:rsidR="008819C1" w:rsidRPr="002E6D48" w:rsidRDefault="008819C1">
            <w:pPr>
              <w:pBdr>
                <w:top w:val="nil"/>
                <w:left w:val="nil"/>
                <w:bottom w:val="nil"/>
                <w:right w:val="nil"/>
                <w:between w:val="nil"/>
              </w:pBdr>
              <w:spacing w:before="80" w:after="80"/>
              <w:jc w:val="both"/>
              <w:rPr>
                <w:sz w:val="20"/>
                <w:szCs w:val="20"/>
              </w:rPr>
            </w:pPr>
            <w:r w:rsidRPr="007E5434">
              <w:rPr>
                <w:sz w:val="20"/>
                <w:szCs w:val="20"/>
              </w:rPr>
              <w:t>Last payout</w:t>
            </w:r>
            <w:r w:rsidR="00963432" w:rsidRPr="007E5434">
              <w:rPr>
                <w:sz w:val="20"/>
                <w:szCs w:val="20"/>
              </w:rPr>
              <w:t xml:space="preserve"> of the EIT Digital Grant</w:t>
            </w:r>
            <w:r w:rsidRPr="007E5434">
              <w:rPr>
                <w:sz w:val="20"/>
                <w:szCs w:val="20"/>
              </w:rPr>
              <w:t xml:space="preserve"> shall be no later than</w:t>
            </w:r>
            <w:r w:rsidR="00E520BD" w:rsidRPr="007E5434">
              <w:rPr>
                <w:sz w:val="20"/>
                <w:szCs w:val="20"/>
              </w:rPr>
              <w:t xml:space="preserve"> …</w:t>
            </w:r>
          </w:p>
        </w:tc>
      </w:tr>
      <w:tr w:rsidR="002E6D48" w:rsidRPr="002E6D48" w14:paraId="403B42A3" w14:textId="77777777">
        <w:tc>
          <w:tcPr>
            <w:tcW w:w="2628" w:type="dxa"/>
          </w:tcPr>
          <w:p w14:paraId="3C696F94" w14:textId="77777777" w:rsidR="0020107D" w:rsidRPr="002E6D48" w:rsidRDefault="00A94ECB">
            <w:pPr>
              <w:pBdr>
                <w:top w:val="nil"/>
                <w:left w:val="nil"/>
                <w:bottom w:val="nil"/>
                <w:right w:val="nil"/>
                <w:between w:val="nil"/>
              </w:pBdr>
              <w:spacing w:before="80" w:after="80"/>
              <w:rPr>
                <w:b/>
                <w:sz w:val="20"/>
                <w:szCs w:val="20"/>
              </w:rPr>
            </w:pPr>
            <w:r w:rsidRPr="002E6D48">
              <w:rPr>
                <w:b/>
                <w:sz w:val="20"/>
                <w:szCs w:val="20"/>
              </w:rPr>
              <w:t>Confidentiality</w:t>
            </w:r>
          </w:p>
        </w:tc>
        <w:tc>
          <w:tcPr>
            <w:tcW w:w="7642" w:type="dxa"/>
          </w:tcPr>
          <w:p w14:paraId="33EA57E9" w14:textId="0BA8D28C" w:rsidR="0020107D" w:rsidRPr="002E6D48" w:rsidRDefault="00A94ECB">
            <w:pPr>
              <w:pBdr>
                <w:top w:val="nil"/>
                <w:left w:val="nil"/>
                <w:bottom w:val="nil"/>
                <w:right w:val="nil"/>
                <w:between w:val="nil"/>
              </w:pBdr>
              <w:spacing w:before="80" w:after="80"/>
              <w:jc w:val="both"/>
              <w:rPr>
                <w:sz w:val="20"/>
                <w:szCs w:val="20"/>
              </w:rPr>
            </w:pPr>
            <w:r w:rsidRPr="002E6D48">
              <w:rPr>
                <w:sz w:val="20"/>
                <w:szCs w:val="20"/>
              </w:rPr>
              <w:t xml:space="preserve">This </w:t>
            </w:r>
            <w:r w:rsidR="00AE05D0">
              <w:rPr>
                <w:sz w:val="20"/>
                <w:szCs w:val="20"/>
              </w:rPr>
              <w:t xml:space="preserve">Term Sheet </w:t>
            </w:r>
            <w:r w:rsidRPr="002E6D48">
              <w:rPr>
                <w:sz w:val="20"/>
                <w:szCs w:val="20"/>
              </w:rPr>
              <w:t xml:space="preserve">is confidential and may not be disclosed to any party other than a party to this </w:t>
            </w:r>
            <w:r w:rsidR="00AE05D0">
              <w:rPr>
                <w:sz w:val="20"/>
                <w:szCs w:val="20"/>
              </w:rPr>
              <w:t xml:space="preserve">Term Sheet </w:t>
            </w:r>
            <w:r w:rsidRPr="002E6D48">
              <w:rPr>
                <w:sz w:val="20"/>
                <w:szCs w:val="20"/>
              </w:rPr>
              <w:t>and its employees and legal advisors.</w:t>
            </w:r>
          </w:p>
        </w:tc>
      </w:tr>
      <w:tr w:rsidR="002E6D48" w:rsidRPr="002E6D48" w14:paraId="075E5AF6" w14:textId="77777777">
        <w:tc>
          <w:tcPr>
            <w:tcW w:w="2628" w:type="dxa"/>
          </w:tcPr>
          <w:p w14:paraId="3C783B82" w14:textId="77777777" w:rsidR="0020107D" w:rsidRPr="002E6D48" w:rsidRDefault="00A94ECB">
            <w:pPr>
              <w:pBdr>
                <w:top w:val="nil"/>
                <w:left w:val="nil"/>
                <w:bottom w:val="nil"/>
                <w:right w:val="nil"/>
                <w:between w:val="nil"/>
              </w:pBdr>
              <w:spacing w:before="80" w:after="80"/>
              <w:rPr>
                <w:b/>
                <w:sz w:val="20"/>
                <w:szCs w:val="20"/>
              </w:rPr>
            </w:pPr>
            <w:r w:rsidRPr="002E6D48">
              <w:rPr>
                <w:b/>
                <w:sz w:val="20"/>
                <w:szCs w:val="20"/>
              </w:rPr>
              <w:t>Definitive Agreements</w:t>
            </w:r>
          </w:p>
        </w:tc>
        <w:tc>
          <w:tcPr>
            <w:tcW w:w="7642" w:type="dxa"/>
          </w:tcPr>
          <w:p w14:paraId="6B8FD153" w14:textId="4FCF68C8" w:rsidR="0020107D" w:rsidRPr="002E6D48" w:rsidRDefault="00BE2469">
            <w:pPr>
              <w:pBdr>
                <w:top w:val="nil"/>
                <w:left w:val="nil"/>
                <w:bottom w:val="nil"/>
                <w:right w:val="nil"/>
                <w:between w:val="nil"/>
              </w:pBdr>
              <w:spacing w:before="80" w:after="80"/>
              <w:jc w:val="both"/>
              <w:rPr>
                <w:sz w:val="20"/>
                <w:szCs w:val="20"/>
              </w:rPr>
            </w:pPr>
            <w:r>
              <w:rPr>
                <w:sz w:val="20"/>
                <w:szCs w:val="20"/>
              </w:rPr>
              <w:t>EIT Digital</w:t>
            </w:r>
            <w:r w:rsidR="00A94ECB" w:rsidRPr="002E6D48">
              <w:rPr>
                <w:sz w:val="20"/>
                <w:szCs w:val="20"/>
              </w:rPr>
              <w:t>´s legal counsel will provide the Company with the first draft of a</w:t>
            </w:r>
            <w:r w:rsidR="00091595" w:rsidRPr="002E6D48">
              <w:rPr>
                <w:sz w:val="20"/>
                <w:szCs w:val="20"/>
              </w:rPr>
              <w:t xml:space="preserve">n </w:t>
            </w:r>
            <w:r w:rsidR="005C3DAD">
              <w:rPr>
                <w:sz w:val="20"/>
                <w:szCs w:val="20"/>
              </w:rPr>
              <w:t>O</w:t>
            </w:r>
            <w:r w:rsidR="00091595" w:rsidRPr="002E6D48">
              <w:rPr>
                <w:sz w:val="20"/>
                <w:szCs w:val="20"/>
              </w:rPr>
              <w:t xml:space="preserve">ption </w:t>
            </w:r>
            <w:r w:rsidR="005C3DAD">
              <w:rPr>
                <w:sz w:val="20"/>
                <w:szCs w:val="20"/>
              </w:rPr>
              <w:t>A</w:t>
            </w:r>
            <w:r w:rsidR="00A94ECB" w:rsidRPr="002E6D48">
              <w:rPr>
                <w:sz w:val="20"/>
                <w:szCs w:val="20"/>
              </w:rPr>
              <w:t>greement in the English language.</w:t>
            </w:r>
            <w:r w:rsidR="00A03730">
              <w:rPr>
                <w:sz w:val="20"/>
                <w:szCs w:val="20"/>
              </w:rPr>
              <w:t xml:space="preserve"> The </w:t>
            </w:r>
            <w:r w:rsidR="008462C9">
              <w:rPr>
                <w:sz w:val="20"/>
                <w:szCs w:val="20"/>
              </w:rPr>
              <w:t xml:space="preserve">definitive </w:t>
            </w:r>
            <w:r w:rsidR="00A03730">
              <w:rPr>
                <w:sz w:val="20"/>
                <w:szCs w:val="20"/>
              </w:rPr>
              <w:t>agreement</w:t>
            </w:r>
            <w:r w:rsidR="008462C9">
              <w:rPr>
                <w:sz w:val="20"/>
                <w:szCs w:val="20"/>
              </w:rPr>
              <w:t>s</w:t>
            </w:r>
            <w:r w:rsidR="00A03730">
              <w:rPr>
                <w:sz w:val="20"/>
                <w:szCs w:val="20"/>
              </w:rPr>
              <w:t xml:space="preserve"> shall be signed by </w:t>
            </w:r>
            <w:r w:rsidR="00344E70">
              <w:rPr>
                <w:sz w:val="20"/>
                <w:szCs w:val="20"/>
              </w:rPr>
              <w:t xml:space="preserve">the Founders and </w:t>
            </w:r>
            <w:r w:rsidR="00A03730">
              <w:rPr>
                <w:sz w:val="20"/>
                <w:szCs w:val="20"/>
              </w:rPr>
              <w:t xml:space="preserve">all </w:t>
            </w:r>
            <w:r w:rsidR="00344E70">
              <w:rPr>
                <w:sz w:val="20"/>
                <w:szCs w:val="20"/>
              </w:rPr>
              <w:t xml:space="preserve">other </w:t>
            </w:r>
            <w:r w:rsidR="00A03730">
              <w:rPr>
                <w:sz w:val="20"/>
                <w:szCs w:val="20"/>
              </w:rPr>
              <w:t xml:space="preserve">shareholders of the Company. </w:t>
            </w:r>
          </w:p>
        </w:tc>
      </w:tr>
      <w:tr w:rsidR="002E6D48" w:rsidRPr="002E6D48" w14:paraId="2BFF8776" w14:textId="77777777">
        <w:tc>
          <w:tcPr>
            <w:tcW w:w="2628" w:type="dxa"/>
          </w:tcPr>
          <w:p w14:paraId="3F33EF89" w14:textId="77777777" w:rsidR="0020107D" w:rsidRDefault="00A94ECB" w:rsidP="00963432">
            <w:pPr>
              <w:pBdr>
                <w:top w:val="nil"/>
                <w:left w:val="nil"/>
                <w:bottom w:val="nil"/>
                <w:right w:val="nil"/>
                <w:between w:val="nil"/>
              </w:pBdr>
              <w:spacing w:before="80" w:after="80"/>
              <w:ind w:right="65"/>
              <w:rPr>
                <w:b/>
                <w:sz w:val="20"/>
                <w:szCs w:val="20"/>
              </w:rPr>
            </w:pPr>
            <w:r w:rsidRPr="002E6D48">
              <w:rPr>
                <w:b/>
                <w:sz w:val="20"/>
                <w:szCs w:val="20"/>
              </w:rPr>
              <w:t>Governing</w:t>
            </w:r>
            <w:r w:rsidRPr="002E6D48">
              <w:rPr>
                <w:b/>
                <w:sz w:val="20"/>
                <w:szCs w:val="20"/>
              </w:rPr>
              <w:br/>
              <w:t>Law</w:t>
            </w:r>
          </w:p>
          <w:p w14:paraId="34906313" w14:textId="77777777" w:rsidR="00115DDA" w:rsidRDefault="00115DDA" w:rsidP="00963432">
            <w:pPr>
              <w:pBdr>
                <w:top w:val="nil"/>
                <w:left w:val="nil"/>
                <w:bottom w:val="nil"/>
                <w:right w:val="nil"/>
                <w:between w:val="nil"/>
              </w:pBdr>
              <w:spacing w:before="80" w:after="80"/>
              <w:ind w:right="65"/>
              <w:rPr>
                <w:b/>
                <w:sz w:val="20"/>
                <w:szCs w:val="20"/>
              </w:rPr>
            </w:pPr>
          </w:p>
          <w:p w14:paraId="49D441F2" w14:textId="66A0340F" w:rsidR="00115DDA" w:rsidRPr="002E6D48" w:rsidRDefault="00115DDA" w:rsidP="00963432">
            <w:pPr>
              <w:pBdr>
                <w:top w:val="nil"/>
                <w:left w:val="nil"/>
                <w:bottom w:val="nil"/>
                <w:right w:val="nil"/>
                <w:between w:val="nil"/>
              </w:pBdr>
              <w:spacing w:before="80" w:after="80"/>
              <w:ind w:right="65"/>
              <w:rPr>
                <w:b/>
                <w:sz w:val="20"/>
                <w:szCs w:val="20"/>
              </w:rPr>
            </w:pPr>
            <w:r>
              <w:rPr>
                <w:b/>
                <w:sz w:val="20"/>
                <w:szCs w:val="20"/>
              </w:rPr>
              <w:t>Legal Relationship</w:t>
            </w:r>
          </w:p>
        </w:tc>
        <w:tc>
          <w:tcPr>
            <w:tcW w:w="7642" w:type="dxa"/>
          </w:tcPr>
          <w:p w14:paraId="2E118E35" w14:textId="218E084F" w:rsidR="00115DDA" w:rsidRDefault="00A94ECB" w:rsidP="00115DDA">
            <w:pPr>
              <w:pBdr>
                <w:top w:val="nil"/>
                <w:left w:val="nil"/>
                <w:bottom w:val="nil"/>
                <w:right w:val="nil"/>
                <w:between w:val="nil"/>
              </w:pBdr>
              <w:spacing w:before="80" w:after="80"/>
              <w:rPr>
                <w:bCs/>
                <w:sz w:val="20"/>
                <w:szCs w:val="20"/>
              </w:rPr>
            </w:pPr>
            <w:r w:rsidRPr="00115DDA">
              <w:rPr>
                <w:bCs/>
                <w:sz w:val="20"/>
                <w:szCs w:val="20"/>
              </w:rPr>
              <w:t xml:space="preserve">The definitive documentation relating to the participation of </w:t>
            </w:r>
            <w:r w:rsidR="00BE2469" w:rsidRPr="00115DDA">
              <w:rPr>
                <w:bCs/>
                <w:sz w:val="20"/>
                <w:szCs w:val="20"/>
              </w:rPr>
              <w:t>EIT Digital</w:t>
            </w:r>
            <w:r w:rsidRPr="00115DDA">
              <w:rPr>
                <w:bCs/>
                <w:sz w:val="20"/>
                <w:szCs w:val="20"/>
              </w:rPr>
              <w:t xml:space="preserve"> shall be governed by the laws of </w:t>
            </w:r>
            <w:r w:rsidR="00091595" w:rsidRPr="00115DDA">
              <w:rPr>
                <w:bCs/>
                <w:sz w:val="20"/>
                <w:szCs w:val="20"/>
              </w:rPr>
              <w:t>[the country the Company is incorporated in].</w:t>
            </w:r>
            <w:bookmarkStart w:id="5" w:name="_Ref21711763"/>
          </w:p>
          <w:p w14:paraId="60E18667" w14:textId="77777777" w:rsidR="00115DDA" w:rsidRPr="00115DDA" w:rsidRDefault="00115DDA" w:rsidP="00115DDA">
            <w:pPr>
              <w:pBdr>
                <w:top w:val="nil"/>
                <w:left w:val="nil"/>
                <w:bottom w:val="nil"/>
                <w:right w:val="nil"/>
                <w:between w:val="nil"/>
              </w:pBdr>
              <w:spacing w:before="80" w:after="80"/>
              <w:rPr>
                <w:bCs/>
                <w:sz w:val="20"/>
                <w:szCs w:val="20"/>
              </w:rPr>
            </w:pPr>
          </w:p>
          <w:p w14:paraId="5BC4A1ED" w14:textId="50E69848" w:rsidR="00E85DD7" w:rsidRPr="00115DDA" w:rsidRDefault="00E85DD7" w:rsidP="00115DDA">
            <w:pPr>
              <w:rPr>
                <w:bCs/>
                <w:sz w:val="20"/>
                <w:szCs w:val="20"/>
              </w:rPr>
            </w:pPr>
            <w:r w:rsidRPr="00115DDA">
              <w:rPr>
                <w:bCs/>
                <w:sz w:val="20"/>
                <w:szCs w:val="20"/>
              </w:rPr>
              <w:t>In addition to this Agreement, the relation between the Company and EIT Digital is governed by the following agreements:</w:t>
            </w:r>
            <w:bookmarkEnd w:id="5"/>
            <w:r w:rsidRPr="00115DDA">
              <w:rPr>
                <w:bCs/>
                <w:sz w:val="20"/>
                <w:szCs w:val="20"/>
              </w:rPr>
              <w:t xml:space="preserve"> </w:t>
            </w:r>
          </w:p>
          <w:p w14:paraId="2184F1DE" w14:textId="7902FF92" w:rsidR="00E85DD7" w:rsidRPr="00115DDA" w:rsidRDefault="00E85DD7" w:rsidP="00115DDA">
            <w:pPr>
              <w:pStyle w:val="LALevel3"/>
              <w:keepNext w:val="0"/>
              <w:numPr>
                <w:ilvl w:val="0"/>
                <w:numId w:val="10"/>
              </w:numPr>
              <w:tabs>
                <w:tab w:val="clear" w:pos="567"/>
                <w:tab w:val="left" w:pos="708"/>
              </w:tabs>
              <w:ind w:left="993" w:hanging="426"/>
              <w:jc w:val="left"/>
              <w:rPr>
                <w:rFonts w:eastAsia="Arial"/>
                <w:bCs/>
                <w:color w:val="auto"/>
                <w:sz w:val="20"/>
                <w:szCs w:val="20"/>
                <w:lang w:eastAsia="de-DE"/>
              </w:rPr>
            </w:pPr>
            <w:r w:rsidRPr="00115DDA">
              <w:rPr>
                <w:rFonts w:eastAsia="Arial"/>
                <w:bCs/>
                <w:color w:val="auto"/>
                <w:sz w:val="20"/>
                <w:szCs w:val="20"/>
                <w:lang w:eastAsia="de-DE"/>
              </w:rPr>
              <w:t>Framework Partnership Agreement (“FPA”): Agreement establishing the cooperation between the European Institute of Innovation and Technology and EIT Digital and</w:t>
            </w:r>
            <w:r w:rsidR="00963432" w:rsidRPr="00115DDA">
              <w:rPr>
                <w:rFonts w:eastAsia="Arial"/>
                <w:bCs/>
                <w:color w:val="auto"/>
                <w:sz w:val="20"/>
                <w:szCs w:val="20"/>
                <w:lang w:eastAsia="de-DE"/>
              </w:rPr>
              <w:t xml:space="preserve"> the EIT Digital</w:t>
            </w:r>
            <w:r w:rsidRPr="00115DDA">
              <w:rPr>
                <w:rFonts w:eastAsia="Arial"/>
                <w:bCs/>
                <w:color w:val="auto"/>
                <w:sz w:val="20"/>
                <w:szCs w:val="20"/>
                <w:lang w:eastAsia="de-DE"/>
              </w:rPr>
              <w:t xml:space="preserve"> KIC Partners. </w:t>
            </w:r>
          </w:p>
          <w:p w14:paraId="0F4F7343" w14:textId="546489B5" w:rsidR="00E85DD7" w:rsidRPr="00115DDA" w:rsidRDefault="00E85DD7" w:rsidP="00115DDA">
            <w:pPr>
              <w:pStyle w:val="LALevel3"/>
              <w:numPr>
                <w:ilvl w:val="0"/>
                <w:numId w:val="10"/>
              </w:numPr>
              <w:ind w:left="993" w:hanging="426"/>
              <w:jc w:val="left"/>
              <w:rPr>
                <w:rFonts w:eastAsia="Arial"/>
                <w:bCs/>
                <w:color w:val="auto"/>
                <w:sz w:val="20"/>
                <w:szCs w:val="20"/>
                <w:lang w:eastAsia="de-DE"/>
              </w:rPr>
            </w:pPr>
            <w:r w:rsidRPr="00115DDA">
              <w:rPr>
                <w:rFonts w:eastAsia="Arial"/>
                <w:bCs/>
                <w:color w:val="auto"/>
                <w:sz w:val="20"/>
                <w:szCs w:val="20"/>
                <w:lang w:eastAsia="de-DE"/>
              </w:rPr>
              <w:t xml:space="preserve">Specific Grant Agreement (“SGA”) between EIT and EIT Digital and the </w:t>
            </w:r>
            <w:r w:rsidR="00963432" w:rsidRPr="00115DDA">
              <w:rPr>
                <w:rFonts w:eastAsia="Arial"/>
                <w:bCs/>
                <w:color w:val="auto"/>
                <w:sz w:val="20"/>
                <w:szCs w:val="20"/>
                <w:lang w:eastAsia="de-DE"/>
              </w:rPr>
              <w:t xml:space="preserve"> EIT Digital </w:t>
            </w:r>
            <w:r w:rsidRPr="00115DDA">
              <w:rPr>
                <w:rFonts w:eastAsia="Arial"/>
                <w:bCs/>
                <w:color w:val="auto"/>
                <w:sz w:val="20"/>
                <w:szCs w:val="20"/>
                <w:lang w:eastAsia="de-DE"/>
              </w:rPr>
              <w:t>KIC Partners:</w:t>
            </w:r>
          </w:p>
          <w:p w14:paraId="6EB189C7" w14:textId="7B456EED" w:rsidR="00E85DD7" w:rsidRPr="00115DDA" w:rsidRDefault="00E85DD7" w:rsidP="00115DDA">
            <w:pPr>
              <w:pStyle w:val="LALevel3"/>
              <w:numPr>
                <w:ilvl w:val="0"/>
                <w:numId w:val="10"/>
              </w:numPr>
              <w:ind w:left="993" w:hanging="426"/>
              <w:jc w:val="left"/>
              <w:rPr>
                <w:rFonts w:eastAsia="Arial"/>
                <w:bCs/>
                <w:color w:val="auto"/>
                <w:sz w:val="20"/>
                <w:szCs w:val="20"/>
                <w:lang w:eastAsia="de-DE"/>
              </w:rPr>
            </w:pPr>
            <w:r w:rsidRPr="00115DDA">
              <w:rPr>
                <w:rFonts w:eastAsia="Arial"/>
                <w:bCs/>
                <w:color w:val="auto"/>
                <w:sz w:val="20"/>
                <w:szCs w:val="20"/>
                <w:lang w:eastAsia="de-DE"/>
              </w:rPr>
              <w:t>Internal Agreement Grant (“IAG)</w:t>
            </w:r>
            <w:r w:rsidR="00E520BD" w:rsidRPr="00115DDA">
              <w:rPr>
                <w:rFonts w:eastAsia="Arial"/>
                <w:bCs/>
                <w:color w:val="auto"/>
                <w:sz w:val="20"/>
                <w:szCs w:val="20"/>
                <w:lang w:eastAsia="de-DE"/>
              </w:rPr>
              <w:t xml:space="preserve"> or </w:t>
            </w:r>
            <w:proofErr w:type="spellStart"/>
            <w:r w:rsidR="00E520BD" w:rsidRPr="00115DDA">
              <w:rPr>
                <w:rFonts w:eastAsia="Arial"/>
                <w:bCs/>
                <w:color w:val="auto"/>
                <w:sz w:val="20"/>
                <w:szCs w:val="20"/>
                <w:lang w:eastAsia="de-DE"/>
              </w:rPr>
              <w:t>Subgranting</w:t>
            </w:r>
            <w:proofErr w:type="spellEnd"/>
            <w:r w:rsidR="00E520BD" w:rsidRPr="00115DDA">
              <w:rPr>
                <w:rFonts w:eastAsia="Arial"/>
                <w:bCs/>
                <w:color w:val="auto"/>
                <w:sz w:val="20"/>
                <w:szCs w:val="20"/>
                <w:lang w:eastAsia="de-DE"/>
              </w:rPr>
              <w:t xml:space="preserve"> Agreement</w:t>
            </w:r>
            <w:r w:rsidRPr="00115DDA">
              <w:rPr>
                <w:rFonts w:eastAsia="Arial"/>
                <w:bCs/>
                <w:color w:val="auto"/>
                <w:sz w:val="20"/>
                <w:szCs w:val="20"/>
                <w:lang w:eastAsia="de-DE"/>
              </w:rPr>
              <w:t>: Containing the rules for the financing of</w:t>
            </w:r>
            <w:r w:rsidR="00963432" w:rsidRPr="00115DDA">
              <w:rPr>
                <w:rFonts w:eastAsia="Arial"/>
                <w:bCs/>
                <w:color w:val="auto"/>
                <w:sz w:val="20"/>
                <w:szCs w:val="20"/>
                <w:lang w:eastAsia="de-DE"/>
              </w:rPr>
              <w:t xml:space="preserve"> the Project</w:t>
            </w:r>
          </w:p>
        </w:tc>
      </w:tr>
      <w:tr w:rsidR="002E6D48" w:rsidRPr="002E6D48" w14:paraId="5EAEC794" w14:textId="77777777">
        <w:tc>
          <w:tcPr>
            <w:tcW w:w="2628" w:type="dxa"/>
          </w:tcPr>
          <w:p w14:paraId="04FC9090" w14:textId="77777777" w:rsidR="0020107D" w:rsidRPr="002E6D48" w:rsidRDefault="00A94ECB">
            <w:pPr>
              <w:pBdr>
                <w:top w:val="nil"/>
                <w:left w:val="nil"/>
                <w:bottom w:val="nil"/>
                <w:right w:val="nil"/>
                <w:between w:val="nil"/>
              </w:pBdr>
              <w:spacing w:before="80" w:after="80"/>
              <w:rPr>
                <w:b/>
                <w:sz w:val="20"/>
                <w:szCs w:val="20"/>
              </w:rPr>
            </w:pPr>
            <w:r w:rsidRPr="002E6D48">
              <w:rPr>
                <w:b/>
                <w:sz w:val="20"/>
                <w:szCs w:val="20"/>
              </w:rPr>
              <w:t>Binding Effect</w:t>
            </w:r>
          </w:p>
        </w:tc>
        <w:tc>
          <w:tcPr>
            <w:tcW w:w="7642" w:type="dxa"/>
          </w:tcPr>
          <w:p w14:paraId="68429DDB" w14:textId="219F4F8E" w:rsidR="0020107D" w:rsidRPr="002E6D48" w:rsidRDefault="00A94ECB">
            <w:pPr>
              <w:pBdr>
                <w:top w:val="nil"/>
                <w:left w:val="nil"/>
                <w:bottom w:val="nil"/>
                <w:right w:val="nil"/>
                <w:between w:val="nil"/>
              </w:pBdr>
              <w:spacing w:before="80" w:after="80"/>
              <w:jc w:val="both"/>
              <w:rPr>
                <w:sz w:val="20"/>
                <w:szCs w:val="20"/>
              </w:rPr>
            </w:pPr>
            <w:r w:rsidRPr="002E6D48">
              <w:rPr>
                <w:sz w:val="20"/>
                <w:szCs w:val="20"/>
              </w:rPr>
              <w:t xml:space="preserve">The parties acknowledge and agree that, except for the obligations set forth in the sections entitled “Confidentiality”, “Governing Law” and this section, which are intended to be legally binding, this </w:t>
            </w:r>
            <w:r w:rsidR="00AE05D0">
              <w:rPr>
                <w:sz w:val="20"/>
                <w:szCs w:val="20"/>
              </w:rPr>
              <w:t xml:space="preserve">Term Sheet </w:t>
            </w:r>
            <w:r w:rsidRPr="002E6D48">
              <w:rPr>
                <w:sz w:val="20"/>
                <w:szCs w:val="20"/>
              </w:rPr>
              <w:t>is intended for discussion purposes only and does not constitute an offer or commitment of any kind to provide or participate in any form of financing of the Company and does not create any legally binding obligations of either Party until the execution and delivery by the Parties of definitive binding agreements.</w:t>
            </w:r>
          </w:p>
        </w:tc>
      </w:tr>
    </w:tbl>
    <w:p w14:paraId="722B5D9E" w14:textId="77777777" w:rsidR="0020107D" w:rsidRPr="002E6D48" w:rsidRDefault="0020107D">
      <w:pPr>
        <w:widowControl w:val="0"/>
        <w:pBdr>
          <w:top w:val="nil"/>
          <w:left w:val="nil"/>
          <w:bottom w:val="nil"/>
          <w:right w:val="nil"/>
          <w:between w:val="nil"/>
        </w:pBdr>
        <w:spacing w:before="0" w:line="276" w:lineRule="auto"/>
        <w:rPr>
          <w:sz w:val="20"/>
          <w:szCs w:val="20"/>
        </w:rPr>
      </w:pPr>
    </w:p>
    <w:tbl>
      <w:tblPr>
        <w:tblStyle w:val="a2"/>
        <w:tblW w:w="10207" w:type="dxa"/>
        <w:tblInd w:w="-426" w:type="dxa"/>
        <w:tblBorders>
          <w:top w:val="nil"/>
          <w:left w:val="nil"/>
          <w:bottom w:val="nil"/>
          <w:right w:val="nil"/>
          <w:insideH w:val="nil"/>
          <w:insideV w:val="nil"/>
        </w:tblBorders>
        <w:tblLayout w:type="fixed"/>
        <w:tblLook w:val="0400" w:firstRow="0" w:lastRow="0" w:firstColumn="0" w:lastColumn="0" w:noHBand="0" w:noVBand="1"/>
      </w:tblPr>
      <w:tblGrid>
        <w:gridCol w:w="10207"/>
      </w:tblGrid>
      <w:tr w:rsidR="002E6D48" w:rsidRPr="002E6D48" w14:paraId="2824DE4E" w14:textId="77777777">
        <w:tc>
          <w:tcPr>
            <w:tcW w:w="10207" w:type="dxa"/>
          </w:tcPr>
          <w:p w14:paraId="04B362F9" w14:textId="2D22ED73" w:rsidR="0020107D" w:rsidRDefault="00874F89">
            <w:pPr>
              <w:pBdr>
                <w:top w:val="nil"/>
                <w:left w:val="nil"/>
                <w:bottom w:val="nil"/>
                <w:right w:val="nil"/>
                <w:between w:val="nil"/>
              </w:pBdr>
              <w:spacing w:before="80" w:after="80" w:line="312" w:lineRule="auto"/>
              <w:rPr>
                <w:rFonts w:ascii="Arial" w:eastAsia="Arial" w:hAnsi="Arial" w:cs="Arial"/>
                <w:i/>
                <w:sz w:val="20"/>
                <w:szCs w:val="20"/>
              </w:rPr>
            </w:pPr>
            <w:r w:rsidRPr="00874F89">
              <w:rPr>
                <w:rFonts w:ascii="Arial" w:eastAsia="Arial" w:hAnsi="Arial" w:cs="Arial"/>
                <w:i/>
                <w:sz w:val="20"/>
                <w:szCs w:val="20"/>
              </w:rPr>
              <w:t>[Signature page follows]</w:t>
            </w:r>
          </w:p>
          <w:p w14:paraId="2FFC2FAB" w14:textId="77777777" w:rsidR="00B91351" w:rsidRPr="00874F89" w:rsidRDefault="00B91351">
            <w:pPr>
              <w:pBdr>
                <w:top w:val="nil"/>
                <w:left w:val="nil"/>
                <w:bottom w:val="nil"/>
                <w:right w:val="nil"/>
                <w:between w:val="nil"/>
              </w:pBdr>
              <w:spacing w:before="80" w:after="80" w:line="312" w:lineRule="auto"/>
              <w:rPr>
                <w:rFonts w:ascii="Arial" w:eastAsia="Arial" w:hAnsi="Arial" w:cs="Arial"/>
                <w:i/>
                <w:sz w:val="20"/>
                <w:szCs w:val="20"/>
              </w:rPr>
            </w:pPr>
          </w:p>
          <w:p w14:paraId="70E8A593" w14:textId="77777777" w:rsidR="0020107D" w:rsidRPr="002E6D48" w:rsidRDefault="0020107D">
            <w:pPr>
              <w:pBdr>
                <w:top w:val="nil"/>
                <w:left w:val="nil"/>
                <w:bottom w:val="nil"/>
                <w:right w:val="nil"/>
                <w:between w:val="nil"/>
              </w:pBdr>
              <w:spacing w:before="80" w:after="80" w:line="312" w:lineRule="auto"/>
              <w:jc w:val="both"/>
              <w:rPr>
                <w:rFonts w:ascii="Arial" w:eastAsia="Arial" w:hAnsi="Arial" w:cs="Arial"/>
                <w:sz w:val="20"/>
                <w:szCs w:val="20"/>
              </w:rPr>
            </w:pPr>
          </w:p>
        </w:tc>
      </w:tr>
    </w:tbl>
    <w:p w14:paraId="1FD8C80B" w14:textId="77777777" w:rsidR="00B91351" w:rsidRDefault="00B91351">
      <w:r>
        <w:br w:type="page"/>
      </w:r>
    </w:p>
    <w:tbl>
      <w:tblPr>
        <w:tblStyle w:val="a2"/>
        <w:tblW w:w="10207" w:type="dxa"/>
        <w:tblInd w:w="-426" w:type="dxa"/>
        <w:tblBorders>
          <w:top w:val="nil"/>
          <w:left w:val="nil"/>
          <w:bottom w:val="nil"/>
          <w:right w:val="nil"/>
          <w:insideH w:val="nil"/>
          <w:insideV w:val="nil"/>
        </w:tblBorders>
        <w:tblLayout w:type="fixed"/>
        <w:tblLook w:val="0400" w:firstRow="0" w:lastRow="0" w:firstColumn="0" w:lastColumn="0" w:noHBand="0" w:noVBand="1"/>
      </w:tblPr>
      <w:tblGrid>
        <w:gridCol w:w="5104"/>
        <w:gridCol w:w="5103"/>
      </w:tblGrid>
      <w:tr w:rsidR="002E6D48" w:rsidRPr="002E6D48" w14:paraId="273E3775" w14:textId="77777777">
        <w:tc>
          <w:tcPr>
            <w:tcW w:w="10207" w:type="dxa"/>
            <w:gridSpan w:val="2"/>
          </w:tcPr>
          <w:p w14:paraId="29713160" w14:textId="121B41CB" w:rsidR="0020107D" w:rsidRDefault="00A94ECB">
            <w:pPr>
              <w:pBdr>
                <w:top w:val="nil"/>
                <w:left w:val="nil"/>
                <w:bottom w:val="nil"/>
                <w:right w:val="nil"/>
                <w:between w:val="nil"/>
              </w:pBdr>
              <w:spacing w:before="80" w:after="80" w:line="312" w:lineRule="auto"/>
              <w:jc w:val="center"/>
              <w:rPr>
                <w:rFonts w:ascii="Arial" w:eastAsia="Arial" w:hAnsi="Arial" w:cs="Arial"/>
                <w:sz w:val="20"/>
                <w:szCs w:val="20"/>
                <w:u w:val="single"/>
              </w:rPr>
            </w:pPr>
            <w:r w:rsidRPr="002E6D48">
              <w:rPr>
                <w:rFonts w:ascii="Arial" w:eastAsia="Arial" w:hAnsi="Arial" w:cs="Arial"/>
                <w:sz w:val="20"/>
                <w:szCs w:val="20"/>
                <w:u w:val="single"/>
              </w:rPr>
              <w:lastRenderedPageBreak/>
              <w:t>Signature page</w:t>
            </w:r>
          </w:p>
          <w:p w14:paraId="3AB7C477" w14:textId="36F8DA27" w:rsidR="00115DDA" w:rsidRDefault="00115DDA">
            <w:pPr>
              <w:pBdr>
                <w:top w:val="nil"/>
                <w:left w:val="nil"/>
                <w:bottom w:val="nil"/>
                <w:right w:val="nil"/>
                <w:between w:val="nil"/>
              </w:pBdr>
              <w:spacing w:before="80" w:after="80" w:line="312" w:lineRule="auto"/>
              <w:jc w:val="center"/>
              <w:rPr>
                <w:rFonts w:ascii="Arial" w:eastAsia="Arial" w:hAnsi="Arial" w:cs="Arial"/>
                <w:sz w:val="20"/>
                <w:szCs w:val="20"/>
                <w:u w:val="single"/>
              </w:rPr>
            </w:pPr>
          </w:p>
          <w:p w14:paraId="03D5EA9B" w14:textId="77777777" w:rsidR="00115DDA" w:rsidRPr="002E6D48" w:rsidRDefault="00115DDA">
            <w:pPr>
              <w:pBdr>
                <w:top w:val="nil"/>
                <w:left w:val="nil"/>
                <w:bottom w:val="nil"/>
                <w:right w:val="nil"/>
                <w:between w:val="nil"/>
              </w:pBdr>
              <w:spacing w:before="80" w:after="80" w:line="312" w:lineRule="auto"/>
              <w:jc w:val="center"/>
              <w:rPr>
                <w:rFonts w:ascii="Arial" w:eastAsia="Arial" w:hAnsi="Arial" w:cs="Arial"/>
                <w:sz w:val="20"/>
                <w:szCs w:val="20"/>
                <w:u w:val="single"/>
              </w:rPr>
            </w:pPr>
          </w:p>
          <w:p w14:paraId="767FFDF3" w14:textId="77777777" w:rsidR="0020107D" w:rsidRPr="002E6D48" w:rsidRDefault="0020107D">
            <w:pPr>
              <w:pBdr>
                <w:top w:val="nil"/>
                <w:left w:val="nil"/>
                <w:bottom w:val="nil"/>
                <w:right w:val="nil"/>
                <w:between w:val="nil"/>
              </w:pBdr>
              <w:spacing w:before="80" w:after="80" w:line="312" w:lineRule="auto"/>
              <w:jc w:val="center"/>
              <w:rPr>
                <w:rFonts w:ascii="Arial" w:eastAsia="Arial" w:hAnsi="Arial" w:cs="Arial"/>
                <w:sz w:val="20"/>
                <w:szCs w:val="20"/>
                <w:u w:val="single"/>
              </w:rPr>
            </w:pPr>
          </w:p>
        </w:tc>
      </w:tr>
      <w:tr w:rsidR="002E6D48" w:rsidRPr="002E6D48" w14:paraId="7AC7330E" w14:textId="77777777">
        <w:tc>
          <w:tcPr>
            <w:tcW w:w="5104" w:type="dxa"/>
          </w:tcPr>
          <w:p w14:paraId="18E257CD" w14:textId="77777777" w:rsidR="0020107D" w:rsidRPr="002E6D48" w:rsidRDefault="00A94ECB">
            <w:pPr>
              <w:pBdr>
                <w:top w:val="nil"/>
                <w:left w:val="nil"/>
                <w:bottom w:val="nil"/>
                <w:right w:val="nil"/>
                <w:between w:val="nil"/>
              </w:pBdr>
              <w:spacing w:before="80" w:after="80" w:line="312" w:lineRule="auto"/>
              <w:jc w:val="both"/>
              <w:rPr>
                <w:rFonts w:ascii="Arial" w:eastAsia="Arial" w:hAnsi="Arial" w:cs="Arial"/>
                <w:sz w:val="20"/>
                <w:szCs w:val="20"/>
              </w:rPr>
            </w:pPr>
            <w:r w:rsidRPr="002E6D48">
              <w:rPr>
                <w:rFonts w:ascii="Arial" w:eastAsia="Arial" w:hAnsi="Arial" w:cs="Arial"/>
                <w:sz w:val="20"/>
                <w:szCs w:val="20"/>
              </w:rPr>
              <w:t>Place, Date: ________________________</w:t>
            </w:r>
          </w:p>
        </w:tc>
        <w:tc>
          <w:tcPr>
            <w:tcW w:w="5103" w:type="dxa"/>
          </w:tcPr>
          <w:p w14:paraId="3E4F1436" w14:textId="77777777" w:rsidR="0020107D" w:rsidRPr="002E6D48" w:rsidRDefault="00A94ECB">
            <w:pPr>
              <w:pBdr>
                <w:top w:val="nil"/>
                <w:left w:val="nil"/>
                <w:bottom w:val="nil"/>
                <w:right w:val="nil"/>
                <w:between w:val="nil"/>
              </w:pBdr>
              <w:spacing w:before="80" w:after="80" w:line="312" w:lineRule="auto"/>
              <w:jc w:val="both"/>
              <w:rPr>
                <w:rFonts w:ascii="Arial" w:eastAsia="Arial" w:hAnsi="Arial" w:cs="Arial"/>
                <w:sz w:val="20"/>
                <w:szCs w:val="20"/>
              </w:rPr>
            </w:pPr>
            <w:r w:rsidRPr="002E6D48">
              <w:rPr>
                <w:rFonts w:ascii="Arial" w:eastAsia="Arial" w:hAnsi="Arial" w:cs="Arial"/>
                <w:sz w:val="20"/>
                <w:szCs w:val="20"/>
              </w:rPr>
              <w:t>Place, Date: ________________________</w:t>
            </w:r>
          </w:p>
        </w:tc>
      </w:tr>
      <w:tr w:rsidR="002E6D48" w:rsidRPr="002E6D48" w14:paraId="5760A1CB" w14:textId="77777777">
        <w:tc>
          <w:tcPr>
            <w:tcW w:w="5104" w:type="dxa"/>
          </w:tcPr>
          <w:p w14:paraId="46FE9F50" w14:textId="77777777" w:rsidR="0020107D" w:rsidRPr="002E6D48" w:rsidRDefault="0020107D">
            <w:pPr>
              <w:pBdr>
                <w:top w:val="nil"/>
                <w:left w:val="nil"/>
                <w:bottom w:val="nil"/>
                <w:right w:val="nil"/>
                <w:between w:val="nil"/>
              </w:pBdr>
              <w:spacing w:before="80" w:after="80" w:line="312" w:lineRule="auto"/>
              <w:jc w:val="both"/>
              <w:rPr>
                <w:rFonts w:ascii="Arial" w:eastAsia="Arial" w:hAnsi="Arial" w:cs="Arial"/>
                <w:sz w:val="20"/>
                <w:szCs w:val="20"/>
              </w:rPr>
            </w:pPr>
          </w:p>
          <w:p w14:paraId="51CC72D2" w14:textId="77777777" w:rsidR="0020107D" w:rsidRDefault="00A94ECB">
            <w:pPr>
              <w:pBdr>
                <w:top w:val="nil"/>
                <w:left w:val="nil"/>
                <w:bottom w:val="nil"/>
                <w:right w:val="nil"/>
                <w:between w:val="nil"/>
              </w:pBdr>
              <w:spacing w:before="80" w:after="80" w:line="312" w:lineRule="auto"/>
              <w:jc w:val="both"/>
              <w:rPr>
                <w:rFonts w:ascii="Arial" w:eastAsia="Arial" w:hAnsi="Arial" w:cs="Arial"/>
                <w:sz w:val="20"/>
                <w:szCs w:val="20"/>
              </w:rPr>
            </w:pPr>
            <w:r w:rsidRPr="002E6D48">
              <w:rPr>
                <w:rFonts w:ascii="Arial" w:eastAsia="Arial" w:hAnsi="Arial" w:cs="Arial"/>
                <w:sz w:val="20"/>
                <w:szCs w:val="20"/>
              </w:rPr>
              <w:t>__________________________________</w:t>
            </w:r>
          </w:p>
          <w:p w14:paraId="3132AA63" w14:textId="178AD83A" w:rsidR="00115DDA" w:rsidRPr="00115DDA" w:rsidRDefault="00115DDA">
            <w:pPr>
              <w:pBdr>
                <w:top w:val="nil"/>
                <w:left w:val="nil"/>
                <w:bottom w:val="nil"/>
                <w:right w:val="nil"/>
                <w:between w:val="nil"/>
              </w:pBdr>
              <w:spacing w:before="80" w:after="80" w:line="312" w:lineRule="auto"/>
              <w:jc w:val="both"/>
              <w:rPr>
                <w:rFonts w:ascii="Arial" w:eastAsia="Arial" w:hAnsi="Arial" w:cs="Arial"/>
                <w:b/>
                <w:bCs/>
                <w:sz w:val="20"/>
                <w:szCs w:val="20"/>
              </w:rPr>
            </w:pPr>
            <w:r w:rsidRPr="00115DDA">
              <w:rPr>
                <w:rFonts w:ascii="Arial" w:eastAsia="Arial" w:hAnsi="Arial" w:cs="Arial"/>
                <w:b/>
                <w:bCs/>
                <w:sz w:val="20"/>
                <w:szCs w:val="20"/>
              </w:rPr>
              <w:t>The Company</w:t>
            </w:r>
            <w:r>
              <w:rPr>
                <w:rFonts w:ascii="Arial" w:eastAsia="Arial" w:hAnsi="Arial" w:cs="Arial"/>
                <w:b/>
                <w:bCs/>
                <w:sz w:val="20"/>
                <w:szCs w:val="20"/>
              </w:rPr>
              <w:t xml:space="preserve">                                                           </w:t>
            </w:r>
          </w:p>
        </w:tc>
        <w:tc>
          <w:tcPr>
            <w:tcW w:w="5103" w:type="dxa"/>
          </w:tcPr>
          <w:p w14:paraId="7FBF6822" w14:textId="77777777" w:rsidR="0020107D" w:rsidRPr="002E6D48" w:rsidRDefault="0020107D">
            <w:pPr>
              <w:pBdr>
                <w:top w:val="nil"/>
                <w:left w:val="nil"/>
                <w:bottom w:val="nil"/>
                <w:right w:val="nil"/>
                <w:between w:val="nil"/>
              </w:pBdr>
              <w:spacing w:before="80" w:after="80" w:line="312" w:lineRule="auto"/>
              <w:jc w:val="both"/>
              <w:rPr>
                <w:rFonts w:ascii="Arial" w:eastAsia="Arial" w:hAnsi="Arial" w:cs="Arial"/>
                <w:sz w:val="20"/>
                <w:szCs w:val="20"/>
              </w:rPr>
            </w:pPr>
          </w:p>
          <w:p w14:paraId="4732CD2E" w14:textId="77777777" w:rsidR="0020107D" w:rsidRDefault="00A94ECB">
            <w:pPr>
              <w:pBdr>
                <w:top w:val="nil"/>
                <w:left w:val="nil"/>
                <w:bottom w:val="nil"/>
                <w:right w:val="nil"/>
                <w:between w:val="nil"/>
              </w:pBdr>
              <w:spacing w:before="80" w:after="80" w:line="312" w:lineRule="auto"/>
              <w:jc w:val="both"/>
              <w:rPr>
                <w:rFonts w:ascii="Arial" w:eastAsia="Arial" w:hAnsi="Arial" w:cs="Arial"/>
                <w:sz w:val="20"/>
                <w:szCs w:val="20"/>
              </w:rPr>
            </w:pPr>
            <w:r w:rsidRPr="002E6D48">
              <w:rPr>
                <w:rFonts w:ascii="Arial" w:eastAsia="Arial" w:hAnsi="Arial" w:cs="Arial"/>
                <w:sz w:val="20"/>
                <w:szCs w:val="20"/>
              </w:rPr>
              <w:t>__________________________________</w:t>
            </w:r>
          </w:p>
          <w:p w14:paraId="6D0AEE30" w14:textId="747F8F12" w:rsidR="00115DDA" w:rsidRPr="00115DDA" w:rsidRDefault="00115DDA" w:rsidP="00115DDA">
            <w:pPr>
              <w:rPr>
                <w:rFonts w:ascii="Arial" w:eastAsia="Arial" w:hAnsi="Arial" w:cs="Arial"/>
                <w:b/>
                <w:bCs/>
                <w:sz w:val="20"/>
                <w:szCs w:val="20"/>
              </w:rPr>
            </w:pPr>
            <w:r w:rsidRPr="00115DDA">
              <w:rPr>
                <w:rFonts w:ascii="Arial" w:eastAsia="Arial" w:hAnsi="Arial" w:cs="Arial"/>
                <w:b/>
                <w:bCs/>
                <w:sz w:val="20"/>
                <w:szCs w:val="20"/>
              </w:rPr>
              <w:t>Founder 1</w:t>
            </w:r>
          </w:p>
        </w:tc>
      </w:tr>
      <w:tr w:rsidR="002E6D48" w:rsidRPr="002E6D48" w14:paraId="573A9BE1" w14:textId="77777777">
        <w:tc>
          <w:tcPr>
            <w:tcW w:w="5104" w:type="dxa"/>
          </w:tcPr>
          <w:p w14:paraId="312BDA6A" w14:textId="0F6C717C" w:rsidR="0020107D" w:rsidRPr="002E6D48" w:rsidRDefault="0020107D">
            <w:pPr>
              <w:pBdr>
                <w:top w:val="nil"/>
                <w:left w:val="nil"/>
                <w:bottom w:val="nil"/>
                <w:right w:val="nil"/>
                <w:between w:val="nil"/>
              </w:pBdr>
              <w:spacing w:before="80" w:after="80" w:line="312" w:lineRule="auto"/>
              <w:jc w:val="both"/>
              <w:rPr>
                <w:rFonts w:ascii="Arial" w:eastAsia="Arial" w:hAnsi="Arial" w:cs="Arial"/>
                <w:b/>
                <w:sz w:val="20"/>
                <w:szCs w:val="20"/>
              </w:rPr>
            </w:pPr>
          </w:p>
        </w:tc>
        <w:tc>
          <w:tcPr>
            <w:tcW w:w="5103" w:type="dxa"/>
          </w:tcPr>
          <w:p w14:paraId="7A66DD09" w14:textId="56EA6D21" w:rsidR="0020107D" w:rsidRPr="002E6D48" w:rsidRDefault="0020107D">
            <w:pPr>
              <w:pBdr>
                <w:top w:val="nil"/>
                <w:left w:val="nil"/>
                <w:bottom w:val="nil"/>
                <w:right w:val="nil"/>
                <w:between w:val="nil"/>
              </w:pBdr>
              <w:spacing w:before="80" w:after="80" w:line="312" w:lineRule="auto"/>
              <w:jc w:val="both"/>
              <w:rPr>
                <w:rFonts w:ascii="Arial" w:eastAsia="Arial" w:hAnsi="Arial" w:cs="Arial"/>
                <w:sz w:val="20"/>
                <w:szCs w:val="20"/>
              </w:rPr>
            </w:pPr>
          </w:p>
        </w:tc>
      </w:tr>
      <w:tr w:rsidR="002E6D48" w:rsidRPr="002E6D48" w14:paraId="3B06C829" w14:textId="77777777">
        <w:tc>
          <w:tcPr>
            <w:tcW w:w="5104" w:type="dxa"/>
          </w:tcPr>
          <w:p w14:paraId="7E7AD915" w14:textId="77777777" w:rsidR="0020107D" w:rsidRPr="002E6D48" w:rsidRDefault="0020107D">
            <w:pPr>
              <w:spacing w:before="80" w:after="80"/>
              <w:jc w:val="both"/>
              <w:rPr>
                <w:rFonts w:ascii="Arial" w:eastAsia="Arial" w:hAnsi="Arial" w:cs="Arial"/>
                <w:sz w:val="20"/>
                <w:szCs w:val="20"/>
              </w:rPr>
            </w:pPr>
          </w:p>
        </w:tc>
        <w:tc>
          <w:tcPr>
            <w:tcW w:w="5103" w:type="dxa"/>
          </w:tcPr>
          <w:p w14:paraId="49E6EC5F" w14:textId="77777777" w:rsidR="0020107D" w:rsidRPr="002E6D48" w:rsidRDefault="0020107D">
            <w:pPr>
              <w:spacing w:before="80" w:after="80"/>
              <w:jc w:val="both"/>
              <w:rPr>
                <w:rFonts w:ascii="Arial" w:eastAsia="Arial" w:hAnsi="Arial" w:cs="Arial"/>
                <w:sz w:val="20"/>
                <w:szCs w:val="20"/>
              </w:rPr>
            </w:pPr>
          </w:p>
        </w:tc>
      </w:tr>
      <w:tr w:rsidR="002E6D48" w:rsidRPr="002E6D48" w14:paraId="29490BC9" w14:textId="77777777">
        <w:tc>
          <w:tcPr>
            <w:tcW w:w="5104" w:type="dxa"/>
          </w:tcPr>
          <w:p w14:paraId="0E39A9F5" w14:textId="77777777" w:rsidR="0020107D" w:rsidRPr="002E6D48" w:rsidRDefault="00A94ECB">
            <w:pPr>
              <w:pBdr>
                <w:top w:val="nil"/>
                <w:left w:val="nil"/>
                <w:bottom w:val="nil"/>
                <w:right w:val="nil"/>
                <w:between w:val="nil"/>
              </w:pBdr>
              <w:spacing w:before="80" w:after="80" w:line="312" w:lineRule="auto"/>
              <w:jc w:val="both"/>
              <w:rPr>
                <w:rFonts w:ascii="Arial" w:eastAsia="Arial" w:hAnsi="Arial" w:cs="Arial"/>
                <w:sz w:val="20"/>
                <w:szCs w:val="20"/>
              </w:rPr>
            </w:pPr>
            <w:r w:rsidRPr="002E6D48">
              <w:rPr>
                <w:rFonts w:ascii="Arial" w:eastAsia="Arial" w:hAnsi="Arial" w:cs="Arial"/>
                <w:sz w:val="20"/>
                <w:szCs w:val="20"/>
              </w:rPr>
              <w:t>Place, Date: ________________________</w:t>
            </w:r>
          </w:p>
        </w:tc>
        <w:tc>
          <w:tcPr>
            <w:tcW w:w="5103" w:type="dxa"/>
          </w:tcPr>
          <w:p w14:paraId="5539E668" w14:textId="77777777" w:rsidR="0020107D" w:rsidRPr="002E6D48" w:rsidRDefault="00A94ECB">
            <w:pPr>
              <w:pBdr>
                <w:top w:val="nil"/>
                <w:left w:val="nil"/>
                <w:bottom w:val="nil"/>
                <w:right w:val="nil"/>
                <w:between w:val="nil"/>
              </w:pBdr>
              <w:spacing w:before="80" w:after="80" w:line="312" w:lineRule="auto"/>
              <w:jc w:val="both"/>
              <w:rPr>
                <w:rFonts w:ascii="Arial" w:eastAsia="Arial" w:hAnsi="Arial" w:cs="Arial"/>
                <w:sz w:val="20"/>
                <w:szCs w:val="20"/>
              </w:rPr>
            </w:pPr>
            <w:r w:rsidRPr="002E6D48">
              <w:rPr>
                <w:rFonts w:ascii="Arial" w:eastAsia="Arial" w:hAnsi="Arial" w:cs="Arial"/>
                <w:sz w:val="20"/>
                <w:szCs w:val="20"/>
              </w:rPr>
              <w:t>Place, Date: ________________________</w:t>
            </w:r>
          </w:p>
        </w:tc>
      </w:tr>
      <w:tr w:rsidR="002E6D48" w:rsidRPr="002E6D48" w14:paraId="414DBE4D" w14:textId="77777777">
        <w:tc>
          <w:tcPr>
            <w:tcW w:w="5104" w:type="dxa"/>
          </w:tcPr>
          <w:p w14:paraId="7255D5FD" w14:textId="77777777" w:rsidR="0020107D" w:rsidRPr="002E6D48" w:rsidRDefault="0020107D">
            <w:pPr>
              <w:pBdr>
                <w:top w:val="nil"/>
                <w:left w:val="nil"/>
                <w:bottom w:val="nil"/>
                <w:right w:val="nil"/>
                <w:between w:val="nil"/>
              </w:pBdr>
              <w:spacing w:before="80" w:after="80" w:line="312" w:lineRule="auto"/>
              <w:jc w:val="both"/>
              <w:rPr>
                <w:rFonts w:ascii="Arial" w:eastAsia="Arial" w:hAnsi="Arial" w:cs="Arial"/>
                <w:sz w:val="20"/>
                <w:szCs w:val="20"/>
              </w:rPr>
            </w:pPr>
          </w:p>
          <w:p w14:paraId="61FF3F0C" w14:textId="77777777" w:rsidR="0020107D" w:rsidRPr="002E6D48" w:rsidRDefault="00A94ECB">
            <w:pPr>
              <w:pBdr>
                <w:top w:val="nil"/>
                <w:left w:val="nil"/>
                <w:bottom w:val="nil"/>
                <w:right w:val="nil"/>
                <w:between w:val="nil"/>
              </w:pBdr>
              <w:spacing w:before="80" w:after="80" w:line="312" w:lineRule="auto"/>
              <w:jc w:val="both"/>
              <w:rPr>
                <w:rFonts w:ascii="Arial" w:eastAsia="Arial" w:hAnsi="Arial" w:cs="Arial"/>
                <w:sz w:val="20"/>
                <w:szCs w:val="20"/>
              </w:rPr>
            </w:pPr>
            <w:r w:rsidRPr="002E6D48">
              <w:rPr>
                <w:rFonts w:ascii="Arial" w:eastAsia="Arial" w:hAnsi="Arial" w:cs="Arial"/>
                <w:sz w:val="20"/>
                <w:szCs w:val="20"/>
              </w:rPr>
              <w:t>__________________________________</w:t>
            </w:r>
          </w:p>
        </w:tc>
        <w:tc>
          <w:tcPr>
            <w:tcW w:w="5103" w:type="dxa"/>
          </w:tcPr>
          <w:p w14:paraId="18229E2E" w14:textId="77777777" w:rsidR="0020107D" w:rsidRPr="002E6D48" w:rsidRDefault="0020107D">
            <w:pPr>
              <w:pBdr>
                <w:top w:val="nil"/>
                <w:left w:val="nil"/>
                <w:bottom w:val="nil"/>
                <w:right w:val="nil"/>
                <w:between w:val="nil"/>
              </w:pBdr>
              <w:spacing w:before="80" w:after="80" w:line="312" w:lineRule="auto"/>
              <w:jc w:val="both"/>
              <w:rPr>
                <w:rFonts w:ascii="Arial" w:eastAsia="Arial" w:hAnsi="Arial" w:cs="Arial"/>
                <w:sz w:val="20"/>
                <w:szCs w:val="20"/>
              </w:rPr>
            </w:pPr>
          </w:p>
          <w:p w14:paraId="031B16FE" w14:textId="77777777" w:rsidR="0020107D" w:rsidRPr="002E6D48" w:rsidRDefault="00A94ECB">
            <w:pPr>
              <w:pBdr>
                <w:top w:val="nil"/>
                <w:left w:val="nil"/>
                <w:bottom w:val="nil"/>
                <w:right w:val="nil"/>
                <w:between w:val="nil"/>
              </w:pBdr>
              <w:spacing w:before="80" w:after="80" w:line="312" w:lineRule="auto"/>
              <w:jc w:val="both"/>
              <w:rPr>
                <w:rFonts w:ascii="Arial" w:eastAsia="Arial" w:hAnsi="Arial" w:cs="Arial"/>
                <w:sz w:val="20"/>
                <w:szCs w:val="20"/>
              </w:rPr>
            </w:pPr>
            <w:r w:rsidRPr="002E6D48">
              <w:rPr>
                <w:rFonts w:ascii="Arial" w:eastAsia="Arial" w:hAnsi="Arial" w:cs="Arial"/>
                <w:sz w:val="20"/>
                <w:szCs w:val="20"/>
              </w:rPr>
              <w:t>__________________________________</w:t>
            </w:r>
          </w:p>
        </w:tc>
      </w:tr>
      <w:tr w:rsidR="002E6D48" w:rsidRPr="002E6D48" w14:paraId="790C1351" w14:textId="77777777">
        <w:tc>
          <w:tcPr>
            <w:tcW w:w="5104" w:type="dxa"/>
          </w:tcPr>
          <w:p w14:paraId="5E8A7A5F" w14:textId="0665EEE5" w:rsidR="0020107D" w:rsidRPr="002E6D48" w:rsidRDefault="00115DDA">
            <w:pPr>
              <w:pBdr>
                <w:top w:val="nil"/>
                <w:left w:val="nil"/>
                <w:bottom w:val="nil"/>
                <w:right w:val="nil"/>
                <w:between w:val="nil"/>
              </w:pBdr>
              <w:spacing w:before="80" w:after="80" w:line="312" w:lineRule="auto"/>
              <w:jc w:val="both"/>
              <w:rPr>
                <w:rFonts w:ascii="Arial" w:eastAsia="Arial" w:hAnsi="Arial" w:cs="Arial"/>
                <w:b/>
                <w:sz w:val="20"/>
                <w:szCs w:val="20"/>
                <w:lang w:val="de-DE"/>
              </w:rPr>
            </w:pPr>
            <w:proofErr w:type="spellStart"/>
            <w:r>
              <w:rPr>
                <w:rFonts w:ascii="Arial" w:eastAsia="Arial" w:hAnsi="Arial" w:cs="Arial"/>
                <w:b/>
                <w:sz w:val="20"/>
                <w:szCs w:val="20"/>
                <w:lang w:val="de-DE"/>
              </w:rPr>
              <w:t>Founder</w:t>
            </w:r>
            <w:proofErr w:type="spellEnd"/>
            <w:r>
              <w:rPr>
                <w:rFonts w:ascii="Arial" w:eastAsia="Arial" w:hAnsi="Arial" w:cs="Arial"/>
                <w:b/>
                <w:sz w:val="20"/>
                <w:szCs w:val="20"/>
                <w:lang w:val="de-DE"/>
              </w:rPr>
              <w:t xml:space="preserve"> 2</w:t>
            </w:r>
          </w:p>
        </w:tc>
        <w:tc>
          <w:tcPr>
            <w:tcW w:w="5103" w:type="dxa"/>
          </w:tcPr>
          <w:p w14:paraId="01857CA9" w14:textId="4E19726A" w:rsidR="0020107D" w:rsidRPr="00115DDA" w:rsidRDefault="00115DDA">
            <w:pPr>
              <w:pBdr>
                <w:top w:val="nil"/>
                <w:left w:val="nil"/>
                <w:bottom w:val="nil"/>
                <w:right w:val="nil"/>
                <w:between w:val="nil"/>
              </w:pBdr>
              <w:spacing w:before="80" w:after="80" w:line="312" w:lineRule="auto"/>
              <w:jc w:val="both"/>
              <w:rPr>
                <w:rFonts w:ascii="Arial" w:eastAsia="Arial" w:hAnsi="Arial" w:cs="Arial"/>
                <w:b/>
                <w:bCs/>
                <w:sz w:val="20"/>
                <w:szCs w:val="20"/>
              </w:rPr>
            </w:pPr>
            <w:r w:rsidRPr="00115DDA">
              <w:rPr>
                <w:rFonts w:ascii="Arial" w:eastAsia="Arial" w:hAnsi="Arial" w:cs="Arial"/>
                <w:b/>
                <w:bCs/>
                <w:sz w:val="20"/>
                <w:szCs w:val="20"/>
              </w:rPr>
              <w:t>Founder 3</w:t>
            </w:r>
          </w:p>
        </w:tc>
      </w:tr>
      <w:tr w:rsidR="002E6D48" w:rsidRPr="002E6D48" w14:paraId="39795F42" w14:textId="77777777">
        <w:tc>
          <w:tcPr>
            <w:tcW w:w="5104" w:type="dxa"/>
          </w:tcPr>
          <w:p w14:paraId="5F4E05E8" w14:textId="77777777" w:rsidR="0020107D" w:rsidRPr="002E6D48" w:rsidRDefault="0020107D">
            <w:pPr>
              <w:spacing w:before="80" w:after="80"/>
              <w:jc w:val="both"/>
              <w:rPr>
                <w:rFonts w:ascii="Arial" w:eastAsia="Arial" w:hAnsi="Arial" w:cs="Arial"/>
                <w:sz w:val="20"/>
                <w:szCs w:val="20"/>
              </w:rPr>
            </w:pPr>
          </w:p>
        </w:tc>
        <w:tc>
          <w:tcPr>
            <w:tcW w:w="5103" w:type="dxa"/>
          </w:tcPr>
          <w:p w14:paraId="4F4587D9" w14:textId="77777777" w:rsidR="0020107D" w:rsidRPr="002E6D48" w:rsidRDefault="0020107D">
            <w:pPr>
              <w:spacing w:before="80" w:after="80"/>
              <w:jc w:val="both"/>
              <w:rPr>
                <w:rFonts w:ascii="Arial" w:eastAsia="Arial" w:hAnsi="Arial" w:cs="Arial"/>
                <w:sz w:val="20"/>
                <w:szCs w:val="20"/>
              </w:rPr>
            </w:pPr>
          </w:p>
        </w:tc>
      </w:tr>
      <w:tr w:rsidR="002E6D48" w:rsidRPr="002E6D48" w14:paraId="6C45021E" w14:textId="77777777">
        <w:trPr>
          <w:gridAfter w:val="1"/>
          <w:wAfter w:w="5103" w:type="dxa"/>
        </w:trPr>
        <w:tc>
          <w:tcPr>
            <w:tcW w:w="5104" w:type="dxa"/>
          </w:tcPr>
          <w:p w14:paraId="00482F23" w14:textId="77777777" w:rsidR="0020107D" w:rsidRPr="002E6D48" w:rsidRDefault="00A94ECB">
            <w:pPr>
              <w:pBdr>
                <w:top w:val="nil"/>
                <w:left w:val="nil"/>
                <w:bottom w:val="nil"/>
                <w:right w:val="nil"/>
                <w:between w:val="nil"/>
              </w:pBdr>
              <w:spacing w:before="80" w:after="80" w:line="312" w:lineRule="auto"/>
              <w:jc w:val="both"/>
              <w:rPr>
                <w:rFonts w:ascii="Arial" w:eastAsia="Arial" w:hAnsi="Arial" w:cs="Arial"/>
                <w:sz w:val="20"/>
                <w:szCs w:val="20"/>
              </w:rPr>
            </w:pPr>
            <w:r w:rsidRPr="002E6D48">
              <w:rPr>
                <w:rFonts w:ascii="Arial" w:eastAsia="Arial" w:hAnsi="Arial" w:cs="Arial"/>
                <w:sz w:val="20"/>
                <w:szCs w:val="20"/>
              </w:rPr>
              <w:t>Place, Date: ________________________</w:t>
            </w:r>
          </w:p>
        </w:tc>
      </w:tr>
      <w:tr w:rsidR="002E6D48" w:rsidRPr="002E6D48" w14:paraId="6DE98C48" w14:textId="77777777">
        <w:trPr>
          <w:gridAfter w:val="1"/>
          <w:wAfter w:w="5103" w:type="dxa"/>
        </w:trPr>
        <w:tc>
          <w:tcPr>
            <w:tcW w:w="5104" w:type="dxa"/>
          </w:tcPr>
          <w:p w14:paraId="2E6F1FC7" w14:textId="77777777" w:rsidR="0020107D" w:rsidRPr="002E6D48" w:rsidRDefault="0020107D">
            <w:pPr>
              <w:pBdr>
                <w:top w:val="nil"/>
                <w:left w:val="nil"/>
                <w:bottom w:val="nil"/>
                <w:right w:val="nil"/>
                <w:between w:val="nil"/>
              </w:pBdr>
              <w:spacing w:before="80" w:after="80" w:line="312" w:lineRule="auto"/>
              <w:jc w:val="both"/>
              <w:rPr>
                <w:rFonts w:ascii="Arial" w:eastAsia="Arial" w:hAnsi="Arial" w:cs="Arial"/>
                <w:sz w:val="20"/>
                <w:szCs w:val="20"/>
              </w:rPr>
            </w:pPr>
          </w:p>
          <w:p w14:paraId="7822E64A" w14:textId="77777777" w:rsidR="0020107D" w:rsidRPr="002E6D48" w:rsidRDefault="00A94ECB">
            <w:pPr>
              <w:pBdr>
                <w:top w:val="nil"/>
                <w:left w:val="nil"/>
                <w:bottom w:val="nil"/>
                <w:right w:val="nil"/>
                <w:between w:val="nil"/>
              </w:pBdr>
              <w:spacing w:before="80" w:after="80" w:line="312" w:lineRule="auto"/>
              <w:jc w:val="both"/>
              <w:rPr>
                <w:rFonts w:ascii="Arial" w:eastAsia="Arial" w:hAnsi="Arial" w:cs="Arial"/>
                <w:sz w:val="20"/>
                <w:szCs w:val="20"/>
              </w:rPr>
            </w:pPr>
            <w:r w:rsidRPr="002E6D48">
              <w:rPr>
                <w:rFonts w:ascii="Arial" w:eastAsia="Arial" w:hAnsi="Arial" w:cs="Arial"/>
                <w:sz w:val="20"/>
                <w:szCs w:val="20"/>
              </w:rPr>
              <w:t>__________________________________</w:t>
            </w:r>
          </w:p>
        </w:tc>
      </w:tr>
      <w:tr w:rsidR="002E6D48" w:rsidRPr="002E6D48" w14:paraId="25877F6A" w14:textId="77777777">
        <w:trPr>
          <w:gridAfter w:val="1"/>
          <w:wAfter w:w="5103" w:type="dxa"/>
        </w:trPr>
        <w:tc>
          <w:tcPr>
            <w:tcW w:w="5104" w:type="dxa"/>
          </w:tcPr>
          <w:p w14:paraId="33B79979" w14:textId="55FD15EB" w:rsidR="0020107D" w:rsidRPr="00115DDA" w:rsidRDefault="00BE2469">
            <w:pPr>
              <w:pBdr>
                <w:top w:val="nil"/>
                <w:left w:val="nil"/>
                <w:bottom w:val="nil"/>
                <w:right w:val="nil"/>
                <w:between w:val="nil"/>
              </w:pBdr>
              <w:spacing w:before="80" w:after="80" w:line="312" w:lineRule="auto"/>
              <w:jc w:val="both"/>
              <w:rPr>
                <w:rFonts w:ascii="Arial" w:eastAsia="Arial" w:hAnsi="Arial" w:cs="Arial"/>
                <w:b/>
                <w:bCs/>
                <w:sz w:val="20"/>
                <w:szCs w:val="20"/>
              </w:rPr>
            </w:pPr>
            <w:r w:rsidRPr="00115DDA">
              <w:rPr>
                <w:rFonts w:ascii="Arial" w:eastAsia="Arial" w:hAnsi="Arial" w:cs="Arial"/>
                <w:b/>
                <w:bCs/>
                <w:sz w:val="20"/>
                <w:szCs w:val="20"/>
              </w:rPr>
              <w:t>EIT Digital</w:t>
            </w:r>
            <w:r w:rsidR="00A94ECB" w:rsidRPr="00115DDA">
              <w:rPr>
                <w:rFonts w:ascii="Arial" w:eastAsia="Arial" w:hAnsi="Arial" w:cs="Arial"/>
                <w:b/>
                <w:bCs/>
                <w:sz w:val="20"/>
                <w:szCs w:val="20"/>
              </w:rPr>
              <w:t xml:space="preserve"> </w:t>
            </w:r>
            <w:r w:rsidR="00115DDA" w:rsidRPr="00115DDA">
              <w:rPr>
                <w:rFonts w:ascii="Arial" w:eastAsia="Arial" w:hAnsi="Arial" w:cs="Arial"/>
                <w:b/>
                <w:bCs/>
                <w:sz w:val="20"/>
                <w:szCs w:val="20"/>
              </w:rPr>
              <w:t>IVZW</w:t>
            </w:r>
            <w:r w:rsidR="00091595" w:rsidRPr="00115DDA">
              <w:rPr>
                <w:rFonts w:ascii="Arial" w:eastAsia="Arial" w:hAnsi="Arial" w:cs="Arial"/>
                <w:b/>
                <w:bCs/>
                <w:sz w:val="20"/>
                <w:szCs w:val="20"/>
              </w:rPr>
              <w:t xml:space="preserve"> </w:t>
            </w:r>
          </w:p>
        </w:tc>
      </w:tr>
    </w:tbl>
    <w:p w14:paraId="5A2FD1C9" w14:textId="77777777" w:rsidR="0020107D" w:rsidRPr="002E6D48" w:rsidRDefault="0020107D">
      <w:pPr>
        <w:pBdr>
          <w:top w:val="nil"/>
          <w:left w:val="nil"/>
          <w:bottom w:val="nil"/>
          <w:right w:val="nil"/>
          <w:between w:val="nil"/>
        </w:pBdr>
        <w:jc w:val="both"/>
        <w:rPr>
          <w:sz w:val="20"/>
          <w:szCs w:val="20"/>
        </w:rPr>
      </w:pPr>
    </w:p>
    <w:sectPr w:rsidR="0020107D" w:rsidRPr="002E6D48">
      <w:headerReference w:type="default" r:id="rId11"/>
      <w:pgSz w:w="11906" w:h="16838"/>
      <w:pgMar w:top="1418" w:right="849" w:bottom="1134"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2A2CC" w14:textId="77777777" w:rsidR="000A7885" w:rsidRDefault="000A7885">
      <w:pPr>
        <w:spacing w:before="0" w:line="240" w:lineRule="auto"/>
      </w:pPr>
      <w:r>
        <w:separator/>
      </w:r>
    </w:p>
  </w:endnote>
  <w:endnote w:type="continuationSeparator" w:id="0">
    <w:p w14:paraId="6E38DC1E" w14:textId="77777777" w:rsidR="000A7885" w:rsidRDefault="000A788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12059" w14:textId="77777777" w:rsidR="000A7885" w:rsidRDefault="000A7885">
      <w:pPr>
        <w:spacing w:before="0" w:line="240" w:lineRule="auto"/>
      </w:pPr>
      <w:r>
        <w:separator/>
      </w:r>
    </w:p>
  </w:footnote>
  <w:footnote w:type="continuationSeparator" w:id="0">
    <w:p w14:paraId="70CEFFDC" w14:textId="77777777" w:rsidR="000A7885" w:rsidRDefault="000A7885">
      <w:pPr>
        <w:spacing w:before="0" w:line="240" w:lineRule="auto"/>
      </w:pPr>
      <w:r>
        <w:continuationSeparator/>
      </w:r>
    </w:p>
  </w:footnote>
  <w:footnote w:id="1">
    <w:p w14:paraId="38CB990B" w14:textId="3CD176DB" w:rsidR="004325A3" w:rsidRPr="003243ED" w:rsidRDefault="004325A3" w:rsidP="00115DDA">
      <w:pPr>
        <w:pStyle w:val="FootnoteText"/>
        <w:rPr>
          <w:sz w:val="18"/>
          <w:szCs w:val="18"/>
        </w:rPr>
      </w:pPr>
    </w:p>
  </w:footnote>
  <w:footnote w:id="2">
    <w:p w14:paraId="1ECEE2F8" w14:textId="0A463D20" w:rsidR="00963432" w:rsidRPr="003243ED" w:rsidRDefault="00963432" w:rsidP="00963432">
      <w:pPr>
        <w:pStyle w:val="FootnoteText"/>
        <w:rPr>
          <w:sz w:val="18"/>
          <w:szCs w:val="18"/>
        </w:rPr>
      </w:pPr>
    </w:p>
    <w:p w14:paraId="73B4D100" w14:textId="4658C5CC" w:rsidR="003243ED" w:rsidRPr="003243ED" w:rsidRDefault="003243ED" w:rsidP="00115DDA">
      <w:pPr>
        <w:pStyle w:val="FootnoteText"/>
        <w:ind w:left="1440"/>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175B3" w14:textId="77777777" w:rsidR="0020107D" w:rsidRDefault="00A94ECB">
    <w:pPr>
      <w:pBdr>
        <w:top w:val="nil"/>
        <w:left w:val="nil"/>
        <w:bottom w:val="nil"/>
        <w:right w:val="nil"/>
        <w:between w:val="nil"/>
      </w:pBdr>
      <w:tabs>
        <w:tab w:val="center" w:pos="4536"/>
        <w:tab w:val="right" w:pos="9072"/>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B64768">
      <w:rPr>
        <w:noProof/>
        <w:color w:val="000000"/>
      </w:rPr>
      <w:t>2</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572A4"/>
    <w:multiLevelType w:val="multilevel"/>
    <w:tmpl w:val="7932E0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7CD750E"/>
    <w:multiLevelType w:val="multilevel"/>
    <w:tmpl w:val="B8C6F7DA"/>
    <w:lvl w:ilvl="0">
      <w:start w:val="1"/>
      <w:numFmt w:val="decimal"/>
      <w:lvlText w:val="%1."/>
      <w:lvlJc w:val="left"/>
      <w:pPr>
        <w:ind w:left="367" w:hanging="360"/>
      </w:pPr>
      <w:rPr>
        <w:vertAlign w:val="baseline"/>
      </w:rPr>
    </w:lvl>
    <w:lvl w:ilvl="1">
      <w:start w:val="1"/>
      <w:numFmt w:val="lowerLetter"/>
      <w:lvlText w:val="%2."/>
      <w:lvlJc w:val="left"/>
      <w:pPr>
        <w:ind w:left="1087" w:hanging="360"/>
      </w:pPr>
      <w:rPr>
        <w:vertAlign w:val="baseline"/>
      </w:rPr>
    </w:lvl>
    <w:lvl w:ilvl="2">
      <w:start w:val="1"/>
      <w:numFmt w:val="lowerRoman"/>
      <w:lvlText w:val="%3."/>
      <w:lvlJc w:val="right"/>
      <w:pPr>
        <w:ind w:left="1807" w:hanging="180"/>
      </w:pPr>
      <w:rPr>
        <w:vertAlign w:val="baseline"/>
      </w:rPr>
    </w:lvl>
    <w:lvl w:ilvl="3">
      <w:start w:val="1"/>
      <w:numFmt w:val="decimal"/>
      <w:lvlText w:val="%4."/>
      <w:lvlJc w:val="left"/>
      <w:pPr>
        <w:ind w:left="2527" w:hanging="360"/>
      </w:pPr>
      <w:rPr>
        <w:vertAlign w:val="baseline"/>
      </w:rPr>
    </w:lvl>
    <w:lvl w:ilvl="4">
      <w:start w:val="1"/>
      <w:numFmt w:val="lowerLetter"/>
      <w:lvlText w:val="%5."/>
      <w:lvlJc w:val="left"/>
      <w:pPr>
        <w:ind w:left="3247" w:hanging="360"/>
      </w:pPr>
      <w:rPr>
        <w:vertAlign w:val="baseline"/>
      </w:rPr>
    </w:lvl>
    <w:lvl w:ilvl="5">
      <w:start w:val="1"/>
      <w:numFmt w:val="lowerRoman"/>
      <w:lvlText w:val="%6."/>
      <w:lvlJc w:val="right"/>
      <w:pPr>
        <w:ind w:left="3967" w:hanging="180"/>
      </w:pPr>
      <w:rPr>
        <w:vertAlign w:val="baseline"/>
      </w:rPr>
    </w:lvl>
    <w:lvl w:ilvl="6">
      <w:start w:val="1"/>
      <w:numFmt w:val="decimal"/>
      <w:lvlText w:val="%7."/>
      <w:lvlJc w:val="left"/>
      <w:pPr>
        <w:ind w:left="4687" w:hanging="360"/>
      </w:pPr>
      <w:rPr>
        <w:vertAlign w:val="baseline"/>
      </w:rPr>
    </w:lvl>
    <w:lvl w:ilvl="7">
      <w:start w:val="1"/>
      <w:numFmt w:val="lowerLetter"/>
      <w:lvlText w:val="%8."/>
      <w:lvlJc w:val="left"/>
      <w:pPr>
        <w:ind w:left="5407" w:hanging="360"/>
      </w:pPr>
      <w:rPr>
        <w:vertAlign w:val="baseline"/>
      </w:rPr>
    </w:lvl>
    <w:lvl w:ilvl="8">
      <w:start w:val="1"/>
      <w:numFmt w:val="lowerRoman"/>
      <w:lvlText w:val="%9."/>
      <w:lvlJc w:val="right"/>
      <w:pPr>
        <w:ind w:left="6127" w:hanging="180"/>
      </w:pPr>
      <w:rPr>
        <w:vertAlign w:val="baseline"/>
      </w:rPr>
    </w:lvl>
  </w:abstractNum>
  <w:abstractNum w:abstractNumId="2" w15:restartNumberingAfterBreak="0">
    <w:nsid w:val="1A003867"/>
    <w:multiLevelType w:val="hybridMultilevel"/>
    <w:tmpl w:val="70C0DDE8"/>
    <w:lvl w:ilvl="0" w:tplc="A016EC3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2E7A06"/>
    <w:multiLevelType w:val="multilevel"/>
    <w:tmpl w:val="B8A63156"/>
    <w:styleLink w:val="LANummerierungLevel"/>
    <w:lvl w:ilvl="0">
      <w:start w:val="1"/>
      <w:numFmt w:val="upperRoman"/>
      <w:pStyle w:val="LALevel1"/>
      <w:lvlText w:val="%1."/>
      <w:lvlJc w:val="left"/>
      <w:pPr>
        <w:tabs>
          <w:tab w:val="num" w:pos="709"/>
        </w:tabs>
        <w:ind w:left="709" w:hanging="709"/>
      </w:pPr>
      <w:rPr>
        <w:rFonts w:ascii="Arial" w:hAnsi="Arial" w:cs="Times New Roman" w:hint="default"/>
        <w:b/>
        <w:bCs/>
        <w:i w:val="0"/>
        <w:caps w:val="0"/>
        <w:strike w:val="0"/>
        <w:dstrike w:val="0"/>
        <w:vanish w:val="0"/>
        <w:webHidden w:val="0"/>
        <w:color w:val="auto"/>
        <w:sz w:val="22"/>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LALevel2"/>
      <w:lvlText w:val="%2."/>
      <w:lvlJc w:val="left"/>
      <w:pPr>
        <w:tabs>
          <w:tab w:val="num" w:pos="709"/>
        </w:tabs>
        <w:ind w:left="709" w:hanging="709"/>
      </w:pPr>
      <w:rPr>
        <w:rFonts w:ascii="Arial" w:hAnsi="Arial" w:cs="Times New Roman" w:hint="default"/>
        <w:b w:val="0"/>
        <w:i w:val="0"/>
        <w:caps w:val="0"/>
        <w:smallCaps w:val="0"/>
        <w:strike w:val="0"/>
        <w:dstrike w:val="0"/>
        <w:vanish w:val="0"/>
        <w:webHidden w:val="0"/>
        <w:color w:val="auto"/>
        <w:sz w:val="22"/>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ALevel3"/>
      <w:lvlText w:val="%2.%3"/>
      <w:lvlJc w:val="left"/>
      <w:pPr>
        <w:tabs>
          <w:tab w:val="num" w:pos="709"/>
        </w:tabs>
        <w:ind w:left="709" w:hanging="709"/>
      </w:pPr>
      <w:rPr>
        <w:b w:val="0"/>
        <w:i w:val="0"/>
        <w:caps w:val="0"/>
        <w:smallCaps w:val="0"/>
        <w:strike w:val="0"/>
        <w:dstrike w:val="0"/>
        <w:vanish w:val="0"/>
        <w:webHidden w:val="0"/>
        <w:color w:val="auto"/>
        <w:sz w:val="22"/>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ALevel4"/>
      <w:lvlText w:val="%2.%3.%4"/>
      <w:lvlJc w:val="left"/>
      <w:pPr>
        <w:tabs>
          <w:tab w:val="num" w:pos="1559"/>
        </w:tabs>
        <w:ind w:left="1559" w:hanging="85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LALevel5"/>
      <w:lvlText w:val="%5)"/>
      <w:lvlJc w:val="left"/>
      <w:pPr>
        <w:tabs>
          <w:tab w:val="num" w:pos="2126"/>
        </w:tabs>
        <w:ind w:left="2126" w:hanging="567"/>
      </w:pPr>
      <w:rPr>
        <w:rFonts w:ascii="Arial" w:hAnsi="Arial" w:cs="Times New Roman" w:hint="default"/>
        <w:b w:val="0"/>
        <w:i w:val="0"/>
        <w:caps w:val="0"/>
        <w:smallCaps w:val="0"/>
        <w:strike w:val="0"/>
        <w:dstrike w:val="0"/>
        <w:vanish w:val="0"/>
        <w:webHidden w:val="0"/>
        <w:color w:val="auto"/>
        <w:sz w:val="22"/>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LALevel6"/>
      <w:lvlText w:val="(%6)"/>
      <w:lvlJc w:val="left"/>
      <w:pPr>
        <w:tabs>
          <w:tab w:val="num" w:pos="2693"/>
        </w:tabs>
        <w:ind w:left="2693" w:hanging="567"/>
      </w:pPr>
      <w:rPr>
        <w:rFonts w:ascii="Arial" w:hAnsi="Arial" w:cs="Times New Roman" w:hint="default"/>
        <w:b w:val="0"/>
        <w:i w:val="0"/>
        <w:caps w:val="0"/>
        <w:smallCaps w:val="0"/>
        <w:strike w:val="0"/>
        <w:dstrike w:val="0"/>
        <w:vanish w:val="0"/>
        <w:webHidden w:val="0"/>
        <w:color w:val="auto"/>
        <w:sz w:val="22"/>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693"/>
        </w:tabs>
        <w:ind w:left="2693" w:firstLine="0"/>
      </w:pPr>
      <w:rPr>
        <w:rFonts w:ascii="Arial" w:hAnsi="Arial" w:cs="Times New Roman" w:hint="default"/>
        <w:b w:val="0"/>
        <w:i w:val="0"/>
        <w:caps w:val="0"/>
        <w:smallCaps w:val="0"/>
        <w:strike w:val="0"/>
        <w:dstrike w:val="0"/>
        <w:vanish w:val="0"/>
        <w:webHidden w:val="0"/>
        <w:color w:val="auto"/>
        <w:sz w:val="22"/>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709" w:hanging="709"/>
      </w:pPr>
      <w:rPr>
        <w:b w:val="0"/>
        <w:i w:val="0"/>
        <w:caps w:val="0"/>
        <w:smallCaps w:val="0"/>
        <w:strike w:val="0"/>
        <w:dstrike w:val="0"/>
        <w:vanish w:val="0"/>
        <w:webHidden w:val="0"/>
        <w:color w:val="auto"/>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709" w:hanging="709"/>
      </w:pPr>
      <w:rPr>
        <w:b w:val="0"/>
        <w:i w:val="0"/>
        <w:caps w:val="0"/>
        <w:smallCaps w:val="0"/>
        <w:strike w:val="0"/>
        <w:dstrike w:val="0"/>
        <w:vanish w:val="0"/>
        <w:webHidden w:val="0"/>
        <w:color w:val="auto"/>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7D97994"/>
    <w:multiLevelType w:val="multilevel"/>
    <w:tmpl w:val="00F0458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CC34E9E"/>
    <w:multiLevelType w:val="hybridMultilevel"/>
    <w:tmpl w:val="17EE79CE"/>
    <w:lvl w:ilvl="0" w:tplc="1EB8C0EE">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D5C31E8"/>
    <w:multiLevelType w:val="multilevel"/>
    <w:tmpl w:val="B8A63156"/>
    <w:numStyleLink w:val="LANummerierungLevel"/>
  </w:abstractNum>
  <w:abstractNum w:abstractNumId="7" w15:restartNumberingAfterBreak="0">
    <w:nsid w:val="41470442"/>
    <w:multiLevelType w:val="hybridMultilevel"/>
    <w:tmpl w:val="1C0C5E76"/>
    <w:lvl w:ilvl="0" w:tplc="3F16B5A8">
      <w:start w:val="1"/>
      <w:numFmt w:val="bullet"/>
      <w:lvlText w:val=""/>
      <w:lvlJc w:val="left"/>
      <w:pPr>
        <w:tabs>
          <w:tab w:val="num" w:pos="720"/>
        </w:tabs>
        <w:ind w:left="720" w:hanging="360"/>
      </w:pPr>
      <w:rPr>
        <w:rFonts w:ascii="Wingdings" w:hAnsi="Wingdings" w:hint="default"/>
      </w:rPr>
    </w:lvl>
    <w:lvl w:ilvl="1" w:tplc="6BEA923A">
      <w:start w:val="1"/>
      <w:numFmt w:val="bullet"/>
      <w:lvlText w:val=""/>
      <w:lvlJc w:val="left"/>
      <w:pPr>
        <w:tabs>
          <w:tab w:val="num" w:pos="1440"/>
        </w:tabs>
        <w:ind w:left="1440" w:hanging="360"/>
      </w:pPr>
      <w:rPr>
        <w:rFonts w:ascii="Wingdings" w:hAnsi="Wingdings" w:hint="default"/>
      </w:rPr>
    </w:lvl>
    <w:lvl w:ilvl="2" w:tplc="299CC246" w:tentative="1">
      <w:start w:val="1"/>
      <w:numFmt w:val="bullet"/>
      <w:lvlText w:val=""/>
      <w:lvlJc w:val="left"/>
      <w:pPr>
        <w:tabs>
          <w:tab w:val="num" w:pos="2160"/>
        </w:tabs>
        <w:ind w:left="2160" w:hanging="360"/>
      </w:pPr>
      <w:rPr>
        <w:rFonts w:ascii="Wingdings" w:hAnsi="Wingdings" w:hint="default"/>
      </w:rPr>
    </w:lvl>
    <w:lvl w:ilvl="3" w:tplc="8892A9F4" w:tentative="1">
      <w:start w:val="1"/>
      <w:numFmt w:val="bullet"/>
      <w:lvlText w:val=""/>
      <w:lvlJc w:val="left"/>
      <w:pPr>
        <w:tabs>
          <w:tab w:val="num" w:pos="2880"/>
        </w:tabs>
        <w:ind w:left="2880" w:hanging="360"/>
      </w:pPr>
      <w:rPr>
        <w:rFonts w:ascii="Wingdings" w:hAnsi="Wingdings" w:hint="default"/>
      </w:rPr>
    </w:lvl>
    <w:lvl w:ilvl="4" w:tplc="82243BF8" w:tentative="1">
      <w:start w:val="1"/>
      <w:numFmt w:val="bullet"/>
      <w:lvlText w:val=""/>
      <w:lvlJc w:val="left"/>
      <w:pPr>
        <w:tabs>
          <w:tab w:val="num" w:pos="3600"/>
        </w:tabs>
        <w:ind w:left="3600" w:hanging="360"/>
      </w:pPr>
      <w:rPr>
        <w:rFonts w:ascii="Wingdings" w:hAnsi="Wingdings" w:hint="default"/>
      </w:rPr>
    </w:lvl>
    <w:lvl w:ilvl="5" w:tplc="0A244FB4" w:tentative="1">
      <w:start w:val="1"/>
      <w:numFmt w:val="bullet"/>
      <w:lvlText w:val=""/>
      <w:lvlJc w:val="left"/>
      <w:pPr>
        <w:tabs>
          <w:tab w:val="num" w:pos="4320"/>
        </w:tabs>
        <w:ind w:left="4320" w:hanging="360"/>
      </w:pPr>
      <w:rPr>
        <w:rFonts w:ascii="Wingdings" w:hAnsi="Wingdings" w:hint="default"/>
      </w:rPr>
    </w:lvl>
    <w:lvl w:ilvl="6" w:tplc="0D90CB10" w:tentative="1">
      <w:start w:val="1"/>
      <w:numFmt w:val="bullet"/>
      <w:lvlText w:val=""/>
      <w:lvlJc w:val="left"/>
      <w:pPr>
        <w:tabs>
          <w:tab w:val="num" w:pos="5040"/>
        </w:tabs>
        <w:ind w:left="5040" w:hanging="360"/>
      </w:pPr>
      <w:rPr>
        <w:rFonts w:ascii="Wingdings" w:hAnsi="Wingdings" w:hint="default"/>
      </w:rPr>
    </w:lvl>
    <w:lvl w:ilvl="7" w:tplc="C19E7946" w:tentative="1">
      <w:start w:val="1"/>
      <w:numFmt w:val="bullet"/>
      <w:lvlText w:val=""/>
      <w:lvlJc w:val="left"/>
      <w:pPr>
        <w:tabs>
          <w:tab w:val="num" w:pos="5760"/>
        </w:tabs>
        <w:ind w:left="5760" w:hanging="360"/>
      </w:pPr>
      <w:rPr>
        <w:rFonts w:ascii="Wingdings" w:hAnsi="Wingdings" w:hint="default"/>
      </w:rPr>
    </w:lvl>
    <w:lvl w:ilvl="8" w:tplc="18A61F4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82029E"/>
    <w:multiLevelType w:val="hybridMultilevel"/>
    <w:tmpl w:val="84EA9AF4"/>
    <w:lvl w:ilvl="0" w:tplc="9584521C">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9BF4FE3"/>
    <w:multiLevelType w:val="hybridMultilevel"/>
    <w:tmpl w:val="07CC6318"/>
    <w:lvl w:ilvl="0" w:tplc="EB50E064">
      <w:start w:val="1"/>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60224249"/>
    <w:multiLevelType w:val="hybridMultilevel"/>
    <w:tmpl w:val="C9F8BC82"/>
    <w:lvl w:ilvl="0" w:tplc="9AA2D4CC">
      <w:numFmt w:val="bullet"/>
      <w:lvlText w:val="-"/>
      <w:lvlJc w:val="left"/>
      <w:pPr>
        <w:ind w:left="7164" w:hanging="360"/>
      </w:pPr>
      <w:rPr>
        <w:rFonts w:ascii="Arial" w:eastAsiaTheme="minorHAnsi" w:hAnsi="Arial" w:cs="Arial" w:hint="default"/>
      </w:rPr>
    </w:lvl>
    <w:lvl w:ilvl="1" w:tplc="13286D7A">
      <w:start w:val="1"/>
      <w:numFmt w:val="bullet"/>
      <w:lvlText w:val="o"/>
      <w:lvlJc w:val="left"/>
      <w:pPr>
        <w:ind w:left="7884" w:hanging="360"/>
      </w:pPr>
      <w:rPr>
        <w:rFonts w:ascii="Courier New" w:hAnsi="Courier New" w:cs="Courier New" w:hint="default"/>
      </w:rPr>
    </w:lvl>
    <w:lvl w:ilvl="2" w:tplc="77F2F194">
      <w:start w:val="1"/>
      <w:numFmt w:val="bullet"/>
      <w:lvlText w:val=""/>
      <w:lvlJc w:val="left"/>
      <w:pPr>
        <w:ind w:left="8604" w:hanging="360"/>
      </w:pPr>
      <w:rPr>
        <w:rFonts w:ascii="Wingdings" w:hAnsi="Wingdings" w:hint="default"/>
      </w:rPr>
    </w:lvl>
    <w:lvl w:ilvl="3" w:tplc="69F2CCEC">
      <w:start w:val="1"/>
      <w:numFmt w:val="bullet"/>
      <w:lvlText w:val=""/>
      <w:lvlJc w:val="left"/>
      <w:pPr>
        <w:ind w:left="9324" w:hanging="360"/>
      </w:pPr>
      <w:rPr>
        <w:rFonts w:ascii="Symbol" w:hAnsi="Symbol" w:hint="default"/>
      </w:rPr>
    </w:lvl>
    <w:lvl w:ilvl="4" w:tplc="F16C60B8">
      <w:start w:val="1"/>
      <w:numFmt w:val="bullet"/>
      <w:lvlText w:val="o"/>
      <w:lvlJc w:val="left"/>
      <w:pPr>
        <w:ind w:left="10044" w:hanging="360"/>
      </w:pPr>
      <w:rPr>
        <w:rFonts w:ascii="Courier New" w:hAnsi="Courier New" w:cs="Courier New" w:hint="default"/>
      </w:rPr>
    </w:lvl>
    <w:lvl w:ilvl="5" w:tplc="0AAE2ABC">
      <w:start w:val="1"/>
      <w:numFmt w:val="bullet"/>
      <w:lvlText w:val=""/>
      <w:lvlJc w:val="left"/>
      <w:pPr>
        <w:ind w:left="10764" w:hanging="360"/>
      </w:pPr>
      <w:rPr>
        <w:rFonts w:ascii="Wingdings" w:hAnsi="Wingdings" w:hint="default"/>
      </w:rPr>
    </w:lvl>
    <w:lvl w:ilvl="6" w:tplc="C994CA66">
      <w:start w:val="1"/>
      <w:numFmt w:val="bullet"/>
      <w:lvlText w:val=""/>
      <w:lvlJc w:val="left"/>
      <w:pPr>
        <w:ind w:left="11484" w:hanging="360"/>
      </w:pPr>
      <w:rPr>
        <w:rFonts w:ascii="Symbol" w:hAnsi="Symbol" w:hint="default"/>
      </w:rPr>
    </w:lvl>
    <w:lvl w:ilvl="7" w:tplc="6046F776">
      <w:start w:val="1"/>
      <w:numFmt w:val="bullet"/>
      <w:lvlText w:val="o"/>
      <w:lvlJc w:val="left"/>
      <w:pPr>
        <w:ind w:left="12204" w:hanging="360"/>
      </w:pPr>
      <w:rPr>
        <w:rFonts w:ascii="Courier New" w:hAnsi="Courier New" w:cs="Courier New" w:hint="default"/>
      </w:rPr>
    </w:lvl>
    <w:lvl w:ilvl="8" w:tplc="2200E4FE">
      <w:start w:val="1"/>
      <w:numFmt w:val="bullet"/>
      <w:lvlText w:val=""/>
      <w:lvlJc w:val="left"/>
      <w:pPr>
        <w:ind w:left="12924" w:hanging="360"/>
      </w:pPr>
      <w:rPr>
        <w:rFonts w:ascii="Wingdings" w:hAnsi="Wingdings" w:hint="default"/>
      </w:rPr>
    </w:lvl>
  </w:abstractNum>
  <w:abstractNum w:abstractNumId="11" w15:restartNumberingAfterBreak="0">
    <w:nsid w:val="7E3F132A"/>
    <w:multiLevelType w:val="hybridMultilevel"/>
    <w:tmpl w:val="50E260B6"/>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4"/>
  </w:num>
  <w:num w:numId="2">
    <w:abstractNumId w:val="0"/>
  </w:num>
  <w:num w:numId="3">
    <w:abstractNumId w:val="7"/>
  </w:num>
  <w:num w:numId="4">
    <w:abstractNumId w:val="2"/>
  </w:num>
  <w:num w:numId="5">
    <w:abstractNumId w:val="5"/>
  </w:num>
  <w:num w:numId="6">
    <w:abstractNumId w:val="8"/>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lvlOverride w:ilvl="0">
      <w:lvl w:ilvl="0">
        <w:start w:val="1"/>
        <w:numFmt w:val="decimal"/>
        <w:lvlText w:val="%1."/>
        <w:lvlJc w:val="left"/>
        <w:pPr>
          <w:tabs>
            <w:tab w:val="num" w:pos="709"/>
          </w:tabs>
          <w:ind w:left="709" w:hanging="709"/>
        </w:pPr>
        <w:rPr>
          <w:rFonts w:ascii="Arial" w:hAnsi="Arial" w:cs="Times New Roman" w:hint="default"/>
          <w:b/>
          <w:bCs/>
          <w:i w:val="0"/>
          <w:caps w:val="0"/>
          <w:strike w:val="0"/>
          <w:dstrike w:val="0"/>
          <w:vanish w:val="0"/>
          <w:webHidden w:val="0"/>
          <w:color w:val="auto"/>
          <w:sz w:val="22"/>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decimal"/>
        <w:lvlRestart w:val="0"/>
        <w:lvlText w:val="%2."/>
        <w:lvlJc w:val="left"/>
        <w:pPr>
          <w:tabs>
            <w:tab w:val="num" w:pos="709"/>
          </w:tabs>
          <w:ind w:left="709" w:hanging="709"/>
        </w:pPr>
        <w:rPr>
          <w:rFonts w:ascii="Arial" w:hAnsi="Arial" w:cs="Times New Roman" w:hint="default"/>
          <w:b/>
          <w:i w:val="0"/>
          <w:caps w:val="0"/>
          <w:smallCaps w:val="0"/>
          <w:strike w:val="0"/>
          <w:dstrike w:val="0"/>
          <w:vanish w:val="0"/>
          <w:webHidden w:val="0"/>
          <w:color w:val="auto"/>
          <w:sz w:val="22"/>
          <w:u w:val="none" w:color="000000"/>
          <w:effect w:val="none"/>
          <w:vertAlign w:val="baseline"/>
          <w:lang w:val="en-GB"/>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decimal"/>
        <w:lvlText w:val="%2.%3"/>
        <w:lvlJc w:val="left"/>
        <w:pPr>
          <w:tabs>
            <w:tab w:val="num" w:pos="709"/>
          </w:tabs>
          <w:ind w:left="709" w:hanging="709"/>
        </w:pPr>
        <w:rPr>
          <w:b w:val="0"/>
          <w:i w:val="0"/>
          <w:caps w:val="0"/>
          <w:smallCaps w:val="0"/>
          <w:strike w:val="0"/>
          <w:dstrike w:val="0"/>
          <w:vanish w:val="0"/>
          <w:webHidden w:val="0"/>
          <w:color w:val="auto"/>
          <w:sz w:val="22"/>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start w:val="1"/>
        <w:numFmt w:val="decimal"/>
        <w:lvlText w:val="%2.%3.%4"/>
        <w:lvlJc w:val="left"/>
        <w:pPr>
          <w:tabs>
            <w:tab w:val="num" w:pos="1559"/>
          </w:tabs>
          <w:ind w:left="1559" w:hanging="85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decimal"/>
        <w:lvlText w:val="%5)"/>
        <w:lvlJc w:val="left"/>
        <w:pPr>
          <w:tabs>
            <w:tab w:val="num" w:pos="2126"/>
          </w:tabs>
          <w:ind w:left="2126" w:hanging="567"/>
        </w:pPr>
        <w:rPr>
          <w:rFonts w:ascii="Arial" w:hAnsi="Arial" w:cs="Times New Roman" w:hint="default"/>
          <w:b w:val="0"/>
          <w:i w:val="0"/>
          <w:caps w:val="0"/>
          <w:smallCaps w:val="0"/>
          <w:strike w:val="0"/>
          <w:dstrike w:val="0"/>
          <w:vanish w:val="0"/>
          <w:webHidden w:val="0"/>
          <w:color w:val="auto"/>
          <w:sz w:val="22"/>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decimal"/>
        <w:lvlText w:val="(%6)"/>
        <w:lvlJc w:val="left"/>
        <w:pPr>
          <w:tabs>
            <w:tab w:val="num" w:pos="2693"/>
          </w:tabs>
          <w:ind w:left="2693" w:hanging="567"/>
        </w:pPr>
        <w:rPr>
          <w:rFonts w:ascii="Arial" w:hAnsi="Arial" w:cs="Times New Roman" w:hint="default"/>
          <w:b w:val="0"/>
          <w:i w:val="0"/>
          <w:caps w:val="0"/>
          <w:smallCaps w:val="0"/>
          <w:strike w:val="0"/>
          <w:dstrike w:val="0"/>
          <w:vanish w:val="0"/>
          <w:webHidden w:val="0"/>
          <w:color w:val="auto"/>
          <w:sz w:val="22"/>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start w:val="1"/>
        <w:numFmt w:val="decimal"/>
        <w:lvlText w:val=""/>
        <w:lvlJc w:val="left"/>
        <w:pPr>
          <w:tabs>
            <w:tab w:val="num" w:pos="2693"/>
          </w:tabs>
          <w:ind w:left="2693" w:firstLine="0"/>
        </w:pPr>
        <w:rPr>
          <w:rFonts w:ascii="Arial" w:hAnsi="Arial" w:cs="Times New Roman" w:hint="default"/>
          <w:b w:val="0"/>
          <w:i w:val="0"/>
          <w:caps w:val="0"/>
          <w:smallCaps w:val="0"/>
          <w:strike w:val="0"/>
          <w:dstrike w:val="0"/>
          <w:vanish w:val="0"/>
          <w:webHidden w:val="0"/>
          <w:color w:val="auto"/>
          <w:sz w:val="22"/>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start w:val="1"/>
        <w:numFmt w:val="decimal"/>
        <w:suff w:val="nothing"/>
        <w:lvlText w:val=""/>
        <w:lvlJc w:val="left"/>
        <w:pPr>
          <w:ind w:left="709" w:hanging="709"/>
        </w:pPr>
        <w:rPr>
          <w:b w:val="0"/>
          <w:i w:val="0"/>
          <w:caps w:val="0"/>
          <w:smallCaps w:val="0"/>
          <w:strike w:val="0"/>
          <w:dstrike w:val="0"/>
          <w:vanish w:val="0"/>
          <w:webHidden w:val="0"/>
          <w:color w:val="auto"/>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start w:val="1"/>
        <w:numFmt w:val="decimal"/>
        <w:suff w:val="nothing"/>
        <w:lvlText w:val=""/>
        <w:lvlJc w:val="left"/>
        <w:pPr>
          <w:ind w:left="709" w:hanging="709"/>
        </w:pPr>
        <w:rPr>
          <w:b w:val="0"/>
          <w:i w:val="0"/>
          <w:caps w:val="0"/>
          <w:smallCaps w:val="0"/>
          <w:strike w:val="0"/>
          <w:dstrike w:val="0"/>
          <w:vanish w:val="0"/>
          <w:webHidden w:val="0"/>
          <w:color w:val="auto"/>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Override>
  </w:num>
  <w:num w:numId="10">
    <w:abstractNumId w:val="10"/>
  </w:num>
  <w:num w:numId="11">
    <w:abstractNumId w:val="3"/>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8168AEA-CB7C-4C68-8C12-F60EB2C30279}"/>
    <w:docVar w:name="dgnword-eventsink" w:val="807083480"/>
  </w:docVars>
  <w:rsids>
    <w:rsidRoot w:val="0020107D"/>
    <w:rsid w:val="00010425"/>
    <w:rsid w:val="00032CCD"/>
    <w:rsid w:val="00035AA8"/>
    <w:rsid w:val="00051D8E"/>
    <w:rsid w:val="000665E7"/>
    <w:rsid w:val="00075771"/>
    <w:rsid w:val="00091595"/>
    <w:rsid w:val="000A7885"/>
    <w:rsid w:val="000D3EAD"/>
    <w:rsid w:val="000D78FC"/>
    <w:rsid w:val="000F1F02"/>
    <w:rsid w:val="0010522F"/>
    <w:rsid w:val="001056F4"/>
    <w:rsid w:val="00105C4B"/>
    <w:rsid w:val="00111EF1"/>
    <w:rsid w:val="00115DDA"/>
    <w:rsid w:val="0011662D"/>
    <w:rsid w:val="00125EF9"/>
    <w:rsid w:val="00134C84"/>
    <w:rsid w:val="00137D8F"/>
    <w:rsid w:val="001505F5"/>
    <w:rsid w:val="00154B6C"/>
    <w:rsid w:val="00160959"/>
    <w:rsid w:val="001D67C4"/>
    <w:rsid w:val="001E00F8"/>
    <w:rsid w:val="001F56D3"/>
    <w:rsid w:val="0020107D"/>
    <w:rsid w:val="002049A5"/>
    <w:rsid w:val="00215D20"/>
    <w:rsid w:val="002223BB"/>
    <w:rsid w:val="0024592D"/>
    <w:rsid w:val="00252603"/>
    <w:rsid w:val="00262E2D"/>
    <w:rsid w:val="00275DED"/>
    <w:rsid w:val="00285BA3"/>
    <w:rsid w:val="002A0795"/>
    <w:rsid w:val="002D5BDC"/>
    <w:rsid w:val="002D6877"/>
    <w:rsid w:val="002D7D8E"/>
    <w:rsid w:val="002E44AE"/>
    <w:rsid w:val="002E5536"/>
    <w:rsid w:val="002E6D48"/>
    <w:rsid w:val="002F19A9"/>
    <w:rsid w:val="00300A00"/>
    <w:rsid w:val="003011A9"/>
    <w:rsid w:val="0030313B"/>
    <w:rsid w:val="00303141"/>
    <w:rsid w:val="00315CB9"/>
    <w:rsid w:val="003243ED"/>
    <w:rsid w:val="00334648"/>
    <w:rsid w:val="00344E70"/>
    <w:rsid w:val="003551DC"/>
    <w:rsid w:val="00374421"/>
    <w:rsid w:val="00385BED"/>
    <w:rsid w:val="003B2776"/>
    <w:rsid w:val="003C5A85"/>
    <w:rsid w:val="003C6C76"/>
    <w:rsid w:val="003E6752"/>
    <w:rsid w:val="003F6203"/>
    <w:rsid w:val="004041AB"/>
    <w:rsid w:val="0041585F"/>
    <w:rsid w:val="00431067"/>
    <w:rsid w:val="004325A3"/>
    <w:rsid w:val="00442288"/>
    <w:rsid w:val="004903EB"/>
    <w:rsid w:val="004A6423"/>
    <w:rsid w:val="004C0D1D"/>
    <w:rsid w:val="004D4980"/>
    <w:rsid w:val="004F020C"/>
    <w:rsid w:val="00501668"/>
    <w:rsid w:val="00501C23"/>
    <w:rsid w:val="00513B67"/>
    <w:rsid w:val="00544CFA"/>
    <w:rsid w:val="0055657B"/>
    <w:rsid w:val="005657EF"/>
    <w:rsid w:val="0057537F"/>
    <w:rsid w:val="005762F8"/>
    <w:rsid w:val="00576C0A"/>
    <w:rsid w:val="00586CEA"/>
    <w:rsid w:val="005B29BF"/>
    <w:rsid w:val="005C3DAD"/>
    <w:rsid w:val="005D1EDF"/>
    <w:rsid w:val="00633B22"/>
    <w:rsid w:val="006364F2"/>
    <w:rsid w:val="006410AB"/>
    <w:rsid w:val="00646FC0"/>
    <w:rsid w:val="006518E4"/>
    <w:rsid w:val="00651A31"/>
    <w:rsid w:val="0067598A"/>
    <w:rsid w:val="006800CD"/>
    <w:rsid w:val="00681DC3"/>
    <w:rsid w:val="006C0693"/>
    <w:rsid w:val="006C682F"/>
    <w:rsid w:val="00711BE5"/>
    <w:rsid w:val="00731EBE"/>
    <w:rsid w:val="007468E1"/>
    <w:rsid w:val="0077194D"/>
    <w:rsid w:val="0078238F"/>
    <w:rsid w:val="007A3DBC"/>
    <w:rsid w:val="007C084C"/>
    <w:rsid w:val="007D0375"/>
    <w:rsid w:val="007E0930"/>
    <w:rsid w:val="007E5434"/>
    <w:rsid w:val="007F39D2"/>
    <w:rsid w:val="008254D1"/>
    <w:rsid w:val="008334D1"/>
    <w:rsid w:val="008424FE"/>
    <w:rsid w:val="008462C9"/>
    <w:rsid w:val="00846A50"/>
    <w:rsid w:val="00860755"/>
    <w:rsid w:val="0087040D"/>
    <w:rsid w:val="00874F89"/>
    <w:rsid w:val="008819C1"/>
    <w:rsid w:val="00884FD2"/>
    <w:rsid w:val="008919D1"/>
    <w:rsid w:val="008962C4"/>
    <w:rsid w:val="008B1734"/>
    <w:rsid w:val="008B3B8D"/>
    <w:rsid w:val="008E01F2"/>
    <w:rsid w:val="008F3B80"/>
    <w:rsid w:val="0093312E"/>
    <w:rsid w:val="00937652"/>
    <w:rsid w:val="0095022D"/>
    <w:rsid w:val="00953935"/>
    <w:rsid w:val="009540C3"/>
    <w:rsid w:val="00963432"/>
    <w:rsid w:val="00965D29"/>
    <w:rsid w:val="00975231"/>
    <w:rsid w:val="009C7997"/>
    <w:rsid w:val="009D06FE"/>
    <w:rsid w:val="009D17B7"/>
    <w:rsid w:val="009F4447"/>
    <w:rsid w:val="009F4A56"/>
    <w:rsid w:val="009F795B"/>
    <w:rsid w:val="00A03730"/>
    <w:rsid w:val="00A311C7"/>
    <w:rsid w:val="00A3281D"/>
    <w:rsid w:val="00A34BF2"/>
    <w:rsid w:val="00A412F3"/>
    <w:rsid w:val="00A51D9E"/>
    <w:rsid w:val="00A60332"/>
    <w:rsid w:val="00A7228B"/>
    <w:rsid w:val="00A94ECB"/>
    <w:rsid w:val="00A9538F"/>
    <w:rsid w:val="00AE05D0"/>
    <w:rsid w:val="00AE0E4A"/>
    <w:rsid w:val="00AE2E02"/>
    <w:rsid w:val="00AE7FFA"/>
    <w:rsid w:val="00AF2742"/>
    <w:rsid w:val="00AF287B"/>
    <w:rsid w:val="00AF340C"/>
    <w:rsid w:val="00B47ECF"/>
    <w:rsid w:val="00B64768"/>
    <w:rsid w:val="00B75088"/>
    <w:rsid w:val="00B84DB8"/>
    <w:rsid w:val="00B91351"/>
    <w:rsid w:val="00B91599"/>
    <w:rsid w:val="00BB7C39"/>
    <w:rsid w:val="00BD50BC"/>
    <w:rsid w:val="00BE2469"/>
    <w:rsid w:val="00BF5B9D"/>
    <w:rsid w:val="00C034B9"/>
    <w:rsid w:val="00C07347"/>
    <w:rsid w:val="00C076E5"/>
    <w:rsid w:val="00C13124"/>
    <w:rsid w:val="00C56FCB"/>
    <w:rsid w:val="00C627C0"/>
    <w:rsid w:val="00C64213"/>
    <w:rsid w:val="00C749C1"/>
    <w:rsid w:val="00C939CC"/>
    <w:rsid w:val="00CE53FC"/>
    <w:rsid w:val="00D11E13"/>
    <w:rsid w:val="00D35580"/>
    <w:rsid w:val="00D54AB7"/>
    <w:rsid w:val="00D55046"/>
    <w:rsid w:val="00D73C05"/>
    <w:rsid w:val="00DA14FE"/>
    <w:rsid w:val="00DA7AE3"/>
    <w:rsid w:val="00DF20EF"/>
    <w:rsid w:val="00E520BD"/>
    <w:rsid w:val="00E600C8"/>
    <w:rsid w:val="00E60AB6"/>
    <w:rsid w:val="00E70FB6"/>
    <w:rsid w:val="00E73464"/>
    <w:rsid w:val="00E77553"/>
    <w:rsid w:val="00E85DD7"/>
    <w:rsid w:val="00E86E11"/>
    <w:rsid w:val="00EA71F1"/>
    <w:rsid w:val="00EC24A3"/>
    <w:rsid w:val="00EE59B9"/>
    <w:rsid w:val="00EF3762"/>
    <w:rsid w:val="00F455D9"/>
    <w:rsid w:val="00F64C23"/>
    <w:rsid w:val="00F85DFD"/>
    <w:rsid w:val="00FA1DEE"/>
    <w:rsid w:val="00FA4AA9"/>
    <w:rsid w:val="00FB4533"/>
    <w:rsid w:val="00FB76CD"/>
    <w:rsid w:val="00FD10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E8D9F7"/>
  <w15:docId w15:val="{9EFE173D-2F53-4938-9652-EF72D0C4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de-DE" w:bidi="ar-SA"/>
      </w:rPr>
    </w:rPrDefault>
    <w:pPrDefault>
      <w:pPr>
        <w:spacing w:before="12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uiPriority w:val="9"/>
    <w:semiHidden/>
    <w:unhideWhenUsed/>
    <w:qFormat/>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00"/>
      <w:outlineLvl w:val="2"/>
    </w:pPr>
    <w:rPr>
      <w:rFonts w:ascii="Cambria" w:eastAsia="Cambria" w:hAnsi="Cambria" w:cs="Cambria"/>
      <w:b/>
      <w:color w:val="4F81BD"/>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40"/>
      <w:outlineLvl w:val="5"/>
    </w:pPr>
    <w:rPr>
      <w:rFonts w:ascii="Cambria" w:eastAsia="Cambria" w:hAnsi="Cambria" w:cs="Cambria"/>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spacing w:before="0" w:line="240" w:lineRule="auto"/>
      <w:contextualSpacing/>
    </w:pPr>
    <w:rPr>
      <w:rFonts w:ascii="Cambria" w:eastAsia="Cambria" w:hAnsi="Cambria" w:cs="Cambria"/>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pPr>
      <w:spacing w:before="0" w:line="240" w:lineRule="auto"/>
    </w:pPr>
    <w:rPr>
      <w:rFonts w:ascii="Calibri" w:eastAsia="Calibri" w:hAnsi="Calibri" w:cs="Calibri"/>
    </w:rPr>
    <w:tblPr>
      <w:tblStyleRowBandSize w:val="1"/>
      <w:tblStyleColBandSize w:val="1"/>
      <w:tblCellMar>
        <w:left w:w="108" w:type="dxa"/>
        <w:right w:w="108" w:type="dxa"/>
      </w:tblCellMar>
    </w:tblPr>
  </w:style>
  <w:style w:type="table" w:customStyle="1" w:styleId="a1">
    <w:basedOn w:val="TableNormal1"/>
    <w:pPr>
      <w:spacing w:before="0" w:line="240" w:lineRule="auto"/>
    </w:pPr>
    <w:rPr>
      <w:rFonts w:ascii="Calibri" w:eastAsia="Calibri" w:hAnsi="Calibri" w:cs="Calibri"/>
    </w:rPr>
    <w:tblPr>
      <w:tblStyleRowBandSize w:val="1"/>
      <w:tblStyleColBandSize w:val="1"/>
      <w:tblCellMar>
        <w:left w:w="108" w:type="dxa"/>
        <w:right w:w="108" w:type="dxa"/>
      </w:tblCellMar>
    </w:tblPr>
  </w:style>
  <w:style w:type="table" w:customStyle="1" w:styleId="a2">
    <w:basedOn w:val="TableNormal1"/>
    <w:pPr>
      <w:spacing w:before="0" w:line="240" w:lineRule="auto"/>
    </w:pPr>
    <w:rPr>
      <w:rFonts w:ascii="Calibri" w:eastAsia="Calibri" w:hAnsi="Calibri" w:cs="Calibri"/>
    </w:rPr>
    <w:tblPr>
      <w:tblStyleRowBandSize w:val="1"/>
      <w:tblStyleColBandSize w:val="1"/>
      <w:tblCellMar>
        <w:left w:w="108" w:type="dxa"/>
        <w:right w:w="108"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6476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768"/>
    <w:rPr>
      <w:rFonts w:ascii="Segoe UI" w:hAnsi="Segoe UI" w:cs="Segoe UI"/>
      <w:sz w:val="18"/>
      <w:szCs w:val="18"/>
    </w:rPr>
  </w:style>
  <w:style w:type="paragraph" w:styleId="Revision">
    <w:name w:val="Revision"/>
    <w:hidden/>
    <w:uiPriority w:val="99"/>
    <w:semiHidden/>
    <w:rsid w:val="00B64768"/>
    <w:pPr>
      <w:spacing w:before="0" w:line="240" w:lineRule="auto"/>
    </w:pPr>
  </w:style>
  <w:style w:type="paragraph" w:styleId="CommentSubject">
    <w:name w:val="annotation subject"/>
    <w:basedOn w:val="CommentText"/>
    <w:next w:val="CommentText"/>
    <w:link w:val="CommentSubjectChar"/>
    <w:uiPriority w:val="99"/>
    <w:semiHidden/>
    <w:unhideWhenUsed/>
    <w:rsid w:val="00B64768"/>
    <w:rPr>
      <w:b/>
      <w:bCs/>
    </w:rPr>
  </w:style>
  <w:style w:type="character" w:customStyle="1" w:styleId="CommentSubjectChar">
    <w:name w:val="Comment Subject Char"/>
    <w:basedOn w:val="CommentTextChar"/>
    <w:link w:val="CommentSubject"/>
    <w:uiPriority w:val="99"/>
    <w:semiHidden/>
    <w:rsid w:val="00B64768"/>
    <w:rPr>
      <w:b/>
      <w:bCs/>
      <w:sz w:val="20"/>
      <w:szCs w:val="20"/>
    </w:rPr>
  </w:style>
  <w:style w:type="paragraph" w:styleId="Header">
    <w:name w:val="header"/>
    <w:basedOn w:val="Normal"/>
    <w:link w:val="HeaderChar"/>
    <w:uiPriority w:val="99"/>
    <w:unhideWhenUsed/>
    <w:rsid w:val="004F020C"/>
    <w:pPr>
      <w:tabs>
        <w:tab w:val="center" w:pos="4536"/>
        <w:tab w:val="right" w:pos="9072"/>
      </w:tabs>
      <w:spacing w:before="0" w:line="240" w:lineRule="auto"/>
    </w:pPr>
  </w:style>
  <w:style w:type="character" w:customStyle="1" w:styleId="HeaderChar">
    <w:name w:val="Header Char"/>
    <w:basedOn w:val="DefaultParagraphFont"/>
    <w:link w:val="Header"/>
    <w:uiPriority w:val="99"/>
    <w:rsid w:val="004F020C"/>
  </w:style>
  <w:style w:type="paragraph" w:styleId="Footer">
    <w:name w:val="footer"/>
    <w:basedOn w:val="Normal"/>
    <w:link w:val="FooterChar"/>
    <w:uiPriority w:val="99"/>
    <w:unhideWhenUsed/>
    <w:rsid w:val="004F020C"/>
    <w:pPr>
      <w:tabs>
        <w:tab w:val="center" w:pos="4536"/>
        <w:tab w:val="right" w:pos="9072"/>
      </w:tabs>
      <w:spacing w:before="0" w:line="240" w:lineRule="auto"/>
    </w:pPr>
  </w:style>
  <w:style w:type="character" w:customStyle="1" w:styleId="FooterChar">
    <w:name w:val="Footer Char"/>
    <w:basedOn w:val="DefaultParagraphFont"/>
    <w:link w:val="Footer"/>
    <w:uiPriority w:val="99"/>
    <w:rsid w:val="004F020C"/>
  </w:style>
  <w:style w:type="paragraph" w:styleId="FootnoteText">
    <w:name w:val="footnote text"/>
    <w:basedOn w:val="Normal"/>
    <w:link w:val="FootnoteTextChar"/>
    <w:uiPriority w:val="99"/>
    <w:unhideWhenUsed/>
    <w:rsid w:val="00AE05D0"/>
    <w:pPr>
      <w:spacing w:before="0" w:line="240" w:lineRule="auto"/>
    </w:pPr>
    <w:rPr>
      <w:sz w:val="20"/>
      <w:szCs w:val="20"/>
    </w:rPr>
  </w:style>
  <w:style w:type="character" w:customStyle="1" w:styleId="FootnoteTextChar">
    <w:name w:val="Footnote Text Char"/>
    <w:basedOn w:val="DefaultParagraphFont"/>
    <w:link w:val="FootnoteText"/>
    <w:uiPriority w:val="99"/>
    <w:rsid w:val="00AE05D0"/>
    <w:rPr>
      <w:sz w:val="20"/>
      <w:szCs w:val="20"/>
    </w:rPr>
  </w:style>
  <w:style w:type="character" w:styleId="FootnoteReference">
    <w:name w:val="footnote reference"/>
    <w:basedOn w:val="DefaultParagraphFont"/>
    <w:uiPriority w:val="99"/>
    <w:semiHidden/>
    <w:unhideWhenUsed/>
    <w:rsid w:val="00AE05D0"/>
    <w:rPr>
      <w:vertAlign w:val="superscript"/>
    </w:rPr>
  </w:style>
  <w:style w:type="paragraph" w:styleId="ListParagraph">
    <w:name w:val="List Paragraph"/>
    <w:basedOn w:val="Normal"/>
    <w:uiPriority w:val="34"/>
    <w:qFormat/>
    <w:rsid w:val="008F3B80"/>
    <w:pPr>
      <w:ind w:left="720"/>
      <w:contextualSpacing/>
    </w:pPr>
  </w:style>
  <w:style w:type="paragraph" w:customStyle="1" w:styleId="MEAuzhlung1">
    <w:name w:val="ME Auzählung 1"/>
    <w:basedOn w:val="Normal"/>
    <w:uiPriority w:val="15"/>
    <w:qFormat/>
    <w:rsid w:val="00E85DD7"/>
    <w:pPr>
      <w:spacing w:after="240"/>
      <w:jc w:val="both"/>
    </w:pPr>
    <w:rPr>
      <w:rFonts w:eastAsiaTheme="minorHAnsi" w:cstheme="minorBidi"/>
      <w:sz w:val="21"/>
      <w:lang w:eastAsia="en-US"/>
    </w:rPr>
  </w:style>
  <w:style w:type="paragraph" w:customStyle="1" w:styleId="LALevel1">
    <w:name w:val="LA Level 1"/>
    <w:uiPriority w:val="1"/>
    <w:qFormat/>
    <w:rsid w:val="00E85DD7"/>
    <w:pPr>
      <w:numPr>
        <w:numId w:val="11"/>
      </w:numPr>
      <w:tabs>
        <w:tab w:val="left" w:pos="567"/>
      </w:tabs>
      <w:spacing w:before="240"/>
      <w:outlineLvl w:val="0"/>
    </w:pPr>
    <w:rPr>
      <w:rFonts w:eastAsiaTheme="minorHAnsi" w:cstheme="minorBidi"/>
      <w:b/>
      <w:lang w:eastAsia="en-US"/>
    </w:rPr>
  </w:style>
  <w:style w:type="paragraph" w:customStyle="1" w:styleId="LALevel2">
    <w:name w:val="LA Level 2"/>
    <w:basedOn w:val="LALevel1"/>
    <w:uiPriority w:val="1"/>
    <w:qFormat/>
    <w:rsid w:val="00E85DD7"/>
    <w:pPr>
      <w:keepNext/>
      <w:widowControl w:val="0"/>
      <w:numPr>
        <w:ilvl w:val="1"/>
      </w:numPr>
      <w:outlineLvl w:val="1"/>
    </w:pPr>
  </w:style>
  <w:style w:type="paragraph" w:customStyle="1" w:styleId="LALevel3">
    <w:name w:val="LA Level 3"/>
    <w:basedOn w:val="LALevel2"/>
    <w:uiPriority w:val="1"/>
    <w:qFormat/>
    <w:rsid w:val="00E85DD7"/>
    <w:pPr>
      <w:numPr>
        <w:ilvl w:val="2"/>
      </w:numPr>
      <w:spacing w:before="120" w:after="120"/>
      <w:jc w:val="both"/>
    </w:pPr>
    <w:rPr>
      <w:rFonts w:cs="Arial"/>
      <w:b w:val="0"/>
      <w:color w:val="000000" w:themeColor="text1"/>
    </w:rPr>
  </w:style>
  <w:style w:type="paragraph" w:customStyle="1" w:styleId="LALevel4">
    <w:name w:val="LA Level 4"/>
    <w:basedOn w:val="LALevel3"/>
    <w:uiPriority w:val="1"/>
    <w:qFormat/>
    <w:rsid w:val="00E85DD7"/>
    <w:pPr>
      <w:numPr>
        <w:ilvl w:val="3"/>
      </w:numPr>
      <w:outlineLvl w:val="2"/>
    </w:pPr>
  </w:style>
  <w:style w:type="paragraph" w:customStyle="1" w:styleId="LALevel5">
    <w:name w:val="LA Level 5"/>
    <w:basedOn w:val="LALevel4"/>
    <w:uiPriority w:val="1"/>
    <w:qFormat/>
    <w:rsid w:val="00E85DD7"/>
    <w:pPr>
      <w:numPr>
        <w:ilvl w:val="4"/>
      </w:numPr>
      <w:outlineLvl w:val="4"/>
    </w:pPr>
  </w:style>
  <w:style w:type="paragraph" w:customStyle="1" w:styleId="LALevel6">
    <w:name w:val="LA Level 6"/>
    <w:basedOn w:val="LALevel5"/>
    <w:uiPriority w:val="1"/>
    <w:qFormat/>
    <w:rsid w:val="00E85DD7"/>
    <w:pPr>
      <w:numPr>
        <w:ilvl w:val="5"/>
      </w:numPr>
    </w:pPr>
  </w:style>
  <w:style w:type="numbering" w:customStyle="1" w:styleId="LANummerierungLevel">
    <w:name w:val="L+A Nummerierung Level"/>
    <w:uiPriority w:val="99"/>
    <w:rsid w:val="00E85DD7"/>
    <w:pPr>
      <w:numPr>
        <w:numId w:val="11"/>
      </w:numPr>
    </w:pPr>
  </w:style>
  <w:style w:type="table" w:styleId="TableGrid">
    <w:name w:val="Table Grid"/>
    <w:basedOn w:val="TableNormal"/>
    <w:uiPriority w:val="59"/>
    <w:rsid w:val="000665E7"/>
    <w:pPr>
      <w:spacing w:before="0" w:line="240" w:lineRule="auto"/>
    </w:pPr>
    <w:rPr>
      <w:rFonts w:asciiTheme="minorHAnsi" w:eastAsiaTheme="minorHAnsi" w:hAnsiTheme="minorHAnsi" w:cstheme="minorBidi"/>
      <w:lang w:val="de-D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2100">
      <w:bodyDiv w:val="1"/>
      <w:marLeft w:val="0"/>
      <w:marRight w:val="0"/>
      <w:marTop w:val="0"/>
      <w:marBottom w:val="0"/>
      <w:divBdr>
        <w:top w:val="none" w:sz="0" w:space="0" w:color="auto"/>
        <w:left w:val="none" w:sz="0" w:space="0" w:color="auto"/>
        <w:bottom w:val="none" w:sz="0" w:space="0" w:color="auto"/>
        <w:right w:val="none" w:sz="0" w:space="0" w:color="auto"/>
      </w:divBdr>
      <w:divsChild>
        <w:div w:id="1007289424">
          <w:marLeft w:val="965"/>
          <w:marRight w:val="0"/>
          <w:marTop w:val="100"/>
          <w:marBottom w:val="0"/>
          <w:divBdr>
            <w:top w:val="none" w:sz="0" w:space="0" w:color="auto"/>
            <w:left w:val="none" w:sz="0" w:space="0" w:color="auto"/>
            <w:bottom w:val="none" w:sz="0" w:space="0" w:color="auto"/>
            <w:right w:val="none" w:sz="0" w:space="0" w:color="auto"/>
          </w:divBdr>
        </w:div>
        <w:div w:id="1655641894">
          <w:marLeft w:val="965"/>
          <w:marRight w:val="0"/>
          <w:marTop w:val="100"/>
          <w:marBottom w:val="0"/>
          <w:divBdr>
            <w:top w:val="none" w:sz="0" w:space="0" w:color="auto"/>
            <w:left w:val="none" w:sz="0" w:space="0" w:color="auto"/>
            <w:bottom w:val="none" w:sz="0" w:space="0" w:color="auto"/>
            <w:right w:val="none" w:sz="0" w:space="0" w:color="auto"/>
          </w:divBdr>
        </w:div>
        <w:div w:id="813763954">
          <w:marLeft w:val="965"/>
          <w:marRight w:val="0"/>
          <w:marTop w:val="100"/>
          <w:marBottom w:val="0"/>
          <w:divBdr>
            <w:top w:val="none" w:sz="0" w:space="0" w:color="auto"/>
            <w:left w:val="none" w:sz="0" w:space="0" w:color="auto"/>
            <w:bottom w:val="none" w:sz="0" w:space="0" w:color="auto"/>
            <w:right w:val="none" w:sz="0" w:space="0" w:color="auto"/>
          </w:divBdr>
        </w:div>
        <w:div w:id="148332847">
          <w:marLeft w:val="965"/>
          <w:marRight w:val="0"/>
          <w:marTop w:val="100"/>
          <w:marBottom w:val="0"/>
          <w:divBdr>
            <w:top w:val="none" w:sz="0" w:space="0" w:color="auto"/>
            <w:left w:val="none" w:sz="0" w:space="0" w:color="auto"/>
            <w:bottom w:val="none" w:sz="0" w:space="0" w:color="auto"/>
            <w:right w:val="none" w:sz="0" w:space="0" w:color="auto"/>
          </w:divBdr>
        </w:div>
      </w:divsChild>
    </w:div>
    <w:div w:id="122969749">
      <w:bodyDiv w:val="1"/>
      <w:marLeft w:val="0"/>
      <w:marRight w:val="0"/>
      <w:marTop w:val="0"/>
      <w:marBottom w:val="0"/>
      <w:divBdr>
        <w:top w:val="none" w:sz="0" w:space="0" w:color="auto"/>
        <w:left w:val="none" w:sz="0" w:space="0" w:color="auto"/>
        <w:bottom w:val="none" w:sz="0" w:space="0" w:color="auto"/>
        <w:right w:val="none" w:sz="0" w:space="0" w:color="auto"/>
      </w:divBdr>
    </w:div>
    <w:div w:id="383410015">
      <w:bodyDiv w:val="1"/>
      <w:marLeft w:val="0"/>
      <w:marRight w:val="0"/>
      <w:marTop w:val="0"/>
      <w:marBottom w:val="0"/>
      <w:divBdr>
        <w:top w:val="none" w:sz="0" w:space="0" w:color="auto"/>
        <w:left w:val="none" w:sz="0" w:space="0" w:color="auto"/>
        <w:bottom w:val="none" w:sz="0" w:space="0" w:color="auto"/>
        <w:right w:val="none" w:sz="0" w:space="0" w:color="auto"/>
      </w:divBdr>
    </w:div>
    <w:div w:id="392775749">
      <w:bodyDiv w:val="1"/>
      <w:marLeft w:val="0"/>
      <w:marRight w:val="0"/>
      <w:marTop w:val="0"/>
      <w:marBottom w:val="0"/>
      <w:divBdr>
        <w:top w:val="none" w:sz="0" w:space="0" w:color="auto"/>
        <w:left w:val="none" w:sz="0" w:space="0" w:color="auto"/>
        <w:bottom w:val="none" w:sz="0" w:space="0" w:color="auto"/>
        <w:right w:val="none" w:sz="0" w:space="0" w:color="auto"/>
      </w:divBdr>
    </w:div>
    <w:div w:id="550071604">
      <w:bodyDiv w:val="1"/>
      <w:marLeft w:val="0"/>
      <w:marRight w:val="0"/>
      <w:marTop w:val="0"/>
      <w:marBottom w:val="0"/>
      <w:divBdr>
        <w:top w:val="none" w:sz="0" w:space="0" w:color="auto"/>
        <w:left w:val="none" w:sz="0" w:space="0" w:color="auto"/>
        <w:bottom w:val="none" w:sz="0" w:space="0" w:color="auto"/>
        <w:right w:val="none" w:sz="0" w:space="0" w:color="auto"/>
      </w:divBdr>
    </w:div>
    <w:div w:id="665478278">
      <w:bodyDiv w:val="1"/>
      <w:marLeft w:val="0"/>
      <w:marRight w:val="0"/>
      <w:marTop w:val="0"/>
      <w:marBottom w:val="0"/>
      <w:divBdr>
        <w:top w:val="none" w:sz="0" w:space="0" w:color="auto"/>
        <w:left w:val="none" w:sz="0" w:space="0" w:color="auto"/>
        <w:bottom w:val="none" w:sz="0" w:space="0" w:color="auto"/>
        <w:right w:val="none" w:sz="0" w:space="0" w:color="auto"/>
      </w:divBdr>
    </w:div>
    <w:div w:id="833107289">
      <w:bodyDiv w:val="1"/>
      <w:marLeft w:val="0"/>
      <w:marRight w:val="0"/>
      <w:marTop w:val="0"/>
      <w:marBottom w:val="0"/>
      <w:divBdr>
        <w:top w:val="none" w:sz="0" w:space="0" w:color="auto"/>
        <w:left w:val="none" w:sz="0" w:space="0" w:color="auto"/>
        <w:bottom w:val="none" w:sz="0" w:space="0" w:color="auto"/>
        <w:right w:val="none" w:sz="0" w:space="0" w:color="auto"/>
      </w:divBdr>
    </w:div>
    <w:div w:id="872768979">
      <w:bodyDiv w:val="1"/>
      <w:marLeft w:val="0"/>
      <w:marRight w:val="0"/>
      <w:marTop w:val="0"/>
      <w:marBottom w:val="0"/>
      <w:divBdr>
        <w:top w:val="none" w:sz="0" w:space="0" w:color="auto"/>
        <w:left w:val="none" w:sz="0" w:space="0" w:color="auto"/>
        <w:bottom w:val="none" w:sz="0" w:space="0" w:color="auto"/>
        <w:right w:val="none" w:sz="0" w:space="0" w:color="auto"/>
      </w:divBdr>
    </w:div>
    <w:div w:id="967974893">
      <w:bodyDiv w:val="1"/>
      <w:marLeft w:val="0"/>
      <w:marRight w:val="0"/>
      <w:marTop w:val="0"/>
      <w:marBottom w:val="0"/>
      <w:divBdr>
        <w:top w:val="none" w:sz="0" w:space="0" w:color="auto"/>
        <w:left w:val="none" w:sz="0" w:space="0" w:color="auto"/>
        <w:bottom w:val="none" w:sz="0" w:space="0" w:color="auto"/>
        <w:right w:val="none" w:sz="0" w:space="0" w:color="auto"/>
      </w:divBdr>
      <w:divsChild>
        <w:div w:id="1725912693">
          <w:marLeft w:val="965"/>
          <w:marRight w:val="0"/>
          <w:marTop w:val="100"/>
          <w:marBottom w:val="0"/>
          <w:divBdr>
            <w:top w:val="none" w:sz="0" w:space="0" w:color="auto"/>
            <w:left w:val="none" w:sz="0" w:space="0" w:color="auto"/>
            <w:bottom w:val="none" w:sz="0" w:space="0" w:color="auto"/>
            <w:right w:val="none" w:sz="0" w:space="0" w:color="auto"/>
          </w:divBdr>
        </w:div>
        <w:div w:id="1523978533">
          <w:marLeft w:val="965"/>
          <w:marRight w:val="0"/>
          <w:marTop w:val="100"/>
          <w:marBottom w:val="0"/>
          <w:divBdr>
            <w:top w:val="none" w:sz="0" w:space="0" w:color="auto"/>
            <w:left w:val="none" w:sz="0" w:space="0" w:color="auto"/>
            <w:bottom w:val="none" w:sz="0" w:space="0" w:color="auto"/>
            <w:right w:val="none" w:sz="0" w:space="0" w:color="auto"/>
          </w:divBdr>
        </w:div>
        <w:div w:id="2029405491">
          <w:marLeft w:val="965"/>
          <w:marRight w:val="0"/>
          <w:marTop w:val="100"/>
          <w:marBottom w:val="0"/>
          <w:divBdr>
            <w:top w:val="none" w:sz="0" w:space="0" w:color="auto"/>
            <w:left w:val="none" w:sz="0" w:space="0" w:color="auto"/>
            <w:bottom w:val="none" w:sz="0" w:space="0" w:color="auto"/>
            <w:right w:val="none" w:sz="0" w:space="0" w:color="auto"/>
          </w:divBdr>
        </w:div>
        <w:div w:id="26368571">
          <w:marLeft w:val="965"/>
          <w:marRight w:val="0"/>
          <w:marTop w:val="100"/>
          <w:marBottom w:val="0"/>
          <w:divBdr>
            <w:top w:val="none" w:sz="0" w:space="0" w:color="auto"/>
            <w:left w:val="none" w:sz="0" w:space="0" w:color="auto"/>
            <w:bottom w:val="none" w:sz="0" w:space="0" w:color="auto"/>
            <w:right w:val="none" w:sz="0" w:space="0" w:color="auto"/>
          </w:divBdr>
        </w:div>
      </w:divsChild>
    </w:div>
    <w:div w:id="1237596247">
      <w:bodyDiv w:val="1"/>
      <w:marLeft w:val="0"/>
      <w:marRight w:val="0"/>
      <w:marTop w:val="0"/>
      <w:marBottom w:val="0"/>
      <w:divBdr>
        <w:top w:val="none" w:sz="0" w:space="0" w:color="auto"/>
        <w:left w:val="none" w:sz="0" w:space="0" w:color="auto"/>
        <w:bottom w:val="none" w:sz="0" w:space="0" w:color="auto"/>
        <w:right w:val="none" w:sz="0" w:space="0" w:color="auto"/>
      </w:divBdr>
    </w:div>
    <w:div w:id="1542401787">
      <w:bodyDiv w:val="1"/>
      <w:marLeft w:val="0"/>
      <w:marRight w:val="0"/>
      <w:marTop w:val="0"/>
      <w:marBottom w:val="0"/>
      <w:divBdr>
        <w:top w:val="none" w:sz="0" w:space="0" w:color="auto"/>
        <w:left w:val="none" w:sz="0" w:space="0" w:color="auto"/>
        <w:bottom w:val="none" w:sz="0" w:space="0" w:color="auto"/>
        <w:right w:val="none" w:sz="0" w:space="0" w:color="auto"/>
      </w:divBdr>
    </w:div>
    <w:div w:id="1668053501">
      <w:bodyDiv w:val="1"/>
      <w:marLeft w:val="0"/>
      <w:marRight w:val="0"/>
      <w:marTop w:val="0"/>
      <w:marBottom w:val="0"/>
      <w:divBdr>
        <w:top w:val="none" w:sz="0" w:space="0" w:color="auto"/>
        <w:left w:val="none" w:sz="0" w:space="0" w:color="auto"/>
        <w:bottom w:val="none" w:sz="0" w:space="0" w:color="auto"/>
        <w:right w:val="none" w:sz="0" w:space="0" w:color="auto"/>
      </w:divBdr>
    </w:div>
    <w:div w:id="1966958876">
      <w:bodyDiv w:val="1"/>
      <w:marLeft w:val="0"/>
      <w:marRight w:val="0"/>
      <w:marTop w:val="0"/>
      <w:marBottom w:val="0"/>
      <w:divBdr>
        <w:top w:val="none" w:sz="0" w:space="0" w:color="auto"/>
        <w:left w:val="none" w:sz="0" w:space="0" w:color="auto"/>
        <w:bottom w:val="none" w:sz="0" w:space="0" w:color="auto"/>
        <w:right w:val="none" w:sz="0" w:space="0" w:color="auto"/>
      </w:divBdr>
    </w:div>
    <w:div w:id="2117796133">
      <w:bodyDiv w:val="1"/>
      <w:marLeft w:val="0"/>
      <w:marRight w:val="0"/>
      <w:marTop w:val="0"/>
      <w:marBottom w:val="0"/>
      <w:divBdr>
        <w:top w:val="none" w:sz="0" w:space="0" w:color="auto"/>
        <w:left w:val="none" w:sz="0" w:space="0" w:color="auto"/>
        <w:bottom w:val="none" w:sz="0" w:space="0" w:color="auto"/>
        <w:right w:val="none" w:sz="0" w:space="0" w:color="auto"/>
      </w:divBdr>
    </w:div>
    <w:div w:id="2143887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40F5C233EBA64F898B7E085825516E" ma:contentTypeVersion="13" ma:contentTypeDescription="Create a new document." ma:contentTypeScope="" ma:versionID="f40a36851780271f2e915038ca2c1cc1">
  <xsd:schema xmlns:xsd="http://www.w3.org/2001/XMLSchema" xmlns:xs="http://www.w3.org/2001/XMLSchema" xmlns:p="http://schemas.microsoft.com/office/2006/metadata/properties" xmlns:ns3="efb2fb46-55a5-4f53-bac1-ccc18bdaa050" xmlns:ns4="f89932cf-cbd6-4964-b6c4-5893883678d3" targetNamespace="http://schemas.microsoft.com/office/2006/metadata/properties" ma:root="true" ma:fieldsID="c401554ff1d1976e072862b05cf93161" ns3:_="" ns4:_="">
    <xsd:import namespace="efb2fb46-55a5-4f53-bac1-ccc18bdaa050"/>
    <xsd:import namespace="f89932cf-cbd6-4964-b6c4-5893883678d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2fb46-55a5-4f53-bac1-ccc18bdaa0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9932cf-cbd6-4964-b6c4-5893883678d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0640D222-ACAC-4E91-AE12-F07C9E0DE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b2fb46-55a5-4f53-bac1-ccc18bdaa050"/>
    <ds:schemaRef ds:uri="f89932cf-cbd6-4964-b6c4-589388367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952921-6388-4A81-9AFD-4B006314F3BD}">
  <ds:schemaRefs>
    <ds:schemaRef ds:uri="f89932cf-cbd6-4964-b6c4-5893883678d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b2fb46-55a5-4f53-bac1-ccc18bdaa050"/>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C89F9F7-0EB3-4AF7-98EF-84867D5F1F20}">
  <ds:schemaRefs>
    <ds:schemaRef ds:uri="http://schemas.microsoft.com/sharepoint/v3/contenttype/forms"/>
  </ds:schemaRefs>
</ds:datastoreItem>
</file>

<file path=customXml/itemProps4.xml><?xml version="1.0" encoding="utf-8"?>
<ds:datastoreItem xmlns:ds="http://schemas.openxmlformats.org/officeDocument/2006/customXml" ds:itemID="{3AB989E1-66D8-5146-BFF1-B0000730F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1392</Words>
  <Characters>7939</Characters>
  <Application>Microsoft Office Word</Application>
  <DocSecurity>0</DocSecurity>
  <Lines>66</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d</dc:creator>
  <cp:lastModifiedBy>Hector Romero</cp:lastModifiedBy>
  <cp:revision>4</cp:revision>
  <cp:lastPrinted>2020-04-17T09:15:00Z</cp:lastPrinted>
  <dcterms:created xsi:type="dcterms:W3CDTF">2020-05-13T15:31:00Z</dcterms:created>
  <dcterms:modified xsi:type="dcterms:W3CDTF">2020-05-13T15:40:00Z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0x010100E340F5C233EBA64F898B7E085825516E</vt:lpwstr>
  </property>
</Properties>
</file>